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425 — الرقم الفرعي: 99 — الرقم الأصلي: 425 — ج: 17 — ص: 162</w:t>
        <w:br/>
      </w:r>
      <w:r>
        <w:rPr>
          <w:rtl w:val="1"/>
        </w:rPr>
        <w:t xml:space="preserve"> حدثنا أحمد بن عمرو الخلال المكي، حدثنا يعقوب بن حميد بن كاسب، حدثنا عبد العزيز بن محمد، عن موسى بن عبيدة، عن أخيه عبد الله بن عبيدة، عن عَتَّاب بن أَسِيد</w:t>
        <w:br/>
      </w:r>
      <w:r>
        <w:rPr>
          <w:color w:val="000000"/>
          <w:rtl w:val="1"/>
        </w:rPr>
        <w:t xml:space="preserve">أنَّ النّبيَّ ﷺ قال له حينَ أَقرّه على مكّةَ:  </w:t>
      </w:r>
      <w:r>
        <w:rPr>
          <w:color w:val="000000"/>
          <w:rtl w:val="1"/>
        </w:rPr>
        <w:t xml:space="preserve">«هل أَنتَ مُبلِّغٌ عنِّي قَومَكَ ما آمرُكَ به؟  </w:t>
      </w:r>
      <w:r>
        <w:rPr>
          <w:color w:val="FF0000"/>
          <w:rtl w:val="1"/>
        </w:rPr>
        <w:t xml:space="preserve">قُل لهم: لا يَجمَع أَحدٌ بَيعًا ولا سَلَمًا،  </w:t>
      </w:r>
      <w:r>
        <w:rPr>
          <w:color w:val="FF0000"/>
          <w:rtl w:val="1"/>
        </w:rPr>
        <w:t xml:space="preserve">ولا يَبِع أَحدٌ بيعَ غَرَر،  </w:t>
      </w:r>
      <w:r>
        <w:rPr>
          <w:color w:val="FF0000"/>
          <w:rtl w:val="1"/>
        </w:rPr>
        <w:t xml:space="preserve">ولا يَبع أَحدٌ ما ليس عندَه».  </w:t>
      </w:r>
    </w:p>
    <w:p>
      <w:pPr>
        <w:bidi w:val="1"/>
        <w:jc w:val="start"/>
      </w:pPr>
      <w:r>
        <w:rPr>
          <w:rtl w:val="1"/>
        </w:rPr>
        <w:t xml:space="preserve">درجة الحديث: إسناده ضعيف </w:t>
      </w:r>
    </w:p>
    <w:p>
      <w:pPr>
        <w:bidi w:val="1"/>
        <w:jc w:val="start"/>
      </w:pPr>
      <w:r>
        <w:rPr>
          <w:rtl w:val="1"/>
        </w:rPr>
        <w:t>الشرح: الدلالة: من شروط المبيع كونه موجودًا حال العقد - المبيع</w:t>
      </w:r>
    </w:p>
    <w:p>
      <w:pPr>
        <w:bidi w:val="1"/>
        <w:jc w:val="start"/>
      </w:pPr>
      <w:r>
        <w:rPr>
          <w:rtl w:val="1"/>
        </w:rPr>
        <w:t>الشرح: الدلالة: بيع السّلَم - أقسام البيع باعتبار المبيع</w:t>
      </w:r>
    </w:p>
    <w:p>
      <w:pPr>
        <w:bidi w:val="1"/>
        <w:jc w:val="start"/>
      </w:pPr>
      <w:r>
        <w:rPr>
          <w:rtl w:val="1"/>
        </w:rPr>
        <w:t>الشرح: الدلالة: بيع الطعام حتى يجري فيه الصاعان (يدخل فيه القبض) - أسباب النهي المتعلقة بالربا</w:t>
      </w:r>
    </w:p>
    <w:p>
      <w:pPr>
        <w:bidi w:val="1"/>
        <w:jc w:val="start"/>
      </w:pPr>
      <w:r>
        <w:rPr>
          <w:rtl w:val="1"/>
        </w:rPr>
        <w:t>الشرح: الدلالة: أسباب النهي المتعلقة بالغرر - الأسباب التي تتعلق بلازم العقد</w:t>
      </w:r>
    </w:p>
    <w:p>
      <w:pPr>
        <w:bidi w:val="1"/>
        <w:jc w:val="start"/>
      </w:pPr>
      <w:r>
        <w:rPr>
          <w:rtl w:val="1"/>
        </w:rPr>
        <w:t>الشرح: الدلالة: كون المسلم فيه مؤجلًا إلى أجل معلوم - شروط المسلم فيه في بيع السلم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