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سهم الصفي-كتاب الخراج والإمارة والفيء-سنن أبي داود — رقم الحديث: 2993 — الرقم الفرعي: 99 — الرقم الأصلي: 2993</w:t>
        <w:br/>
      </w:r>
      <w:r>
        <w:rPr>
          <w:rtl w:val="1"/>
        </w:rPr>
        <w:t xml:space="preserve"> حدثنا محمود بن خالد السلميّ ثنا عمر ملاحظة يعني ابن عبد الواحد عن سعيد ملاحظة يعني ابن بشير عن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غزا كان له سهْمٌ صافٍ يأخذُه من حيثُ شاءَ،  </w:t>
      </w:r>
      <w:r>
        <w:rPr>
          <w:color w:val="FF0000"/>
          <w:rtl w:val="1"/>
        </w:rPr>
        <w:t xml:space="preserve">وكانت صفيَّةُ من ذلك السهمِ،  </w:t>
      </w:r>
      <w:r>
        <w:rPr>
          <w:color w:val="FF0000"/>
          <w:rtl w:val="1"/>
        </w:rPr>
        <w:t xml:space="preserve">وكان إذا لم يَغْزُ بنفسِه ضُرِبَ له بسهمِه ولم يُخيَّر.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