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المشي يوم العيد-أبواب الصلاة-سنن الترمذي — رقم الحديث: 530 — الرقم الفرعي: 99 — الرقم الأصلي: 530</w:t>
        <w:br/>
      </w:r>
      <w:r>
        <w:rPr>
          <w:rtl w:val="1"/>
        </w:rPr>
        <w:t xml:space="preserve"> حدثنا إسماعيل بن موسى الفزاريّ حدثنا شَريك عن أبي إسحاق عن الحارث عن عليّ بن أبي طالب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مِن السُّنّة أن تَخرُج إلى العِيد ماشيًا،  </w:t>
      </w:r>
      <w:r>
        <w:rPr>
          <w:color w:val="FF0000"/>
          <w:rtl w:val="1"/>
        </w:rPr>
        <w:t xml:space="preserve">وأن تأكُلَ شيئًا قبلَ أن تَخرُج.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والعملُ على هذا الحديثِ عندَ أَكثرِ أَهلِ العِلم؛ يَستحبُّوَن أن يَخرُجَ الرَّجلُ إلى العِيدِ ماشيًا، وأن لا يَركبَ إلّا مِن عُذْر.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المشي إلى مصلى العيد وتغيير الطريق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الأكل قبل صلاة الفطر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