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نكاح مَن أسلم من المشركات وعدّتهنّ-كتاب الطلاق-صحيح البخاري — رقم الحديث: 5287 — الرقم الفرعي: 99 — الرقم الأصلي: 5287</w:t>
        <w:br/>
      </w:r>
      <w:r>
        <w:rPr>
          <w:rtl w:val="1"/>
        </w:rPr>
        <w:t xml:space="preserve"> وقال عطاء عن ابن عباس</w:t>
        <w:br/>
      </w:r>
      <w:r>
        <w:rPr>
          <w:color w:val="FF0000"/>
          <w:rtl w:val="1"/>
        </w:rPr>
        <w:t xml:space="preserve">كانت قُرَيْبةُ بنتُ أبي أُميَّةَ عندَ عمرَ بنِ الخطَّاب فطَلَّقَها،  </w:t>
      </w:r>
      <w:r>
        <w:rPr>
          <w:color w:val="000000"/>
          <w:rtl w:val="1"/>
        </w:rPr>
        <w:t xml:space="preserve">فتَزوَّجَها معاويةُ بنُ أبي سفيانَ،  </w:t>
      </w:r>
      <w:r>
        <w:rPr>
          <w:color w:val="FF0000"/>
          <w:rtl w:val="1"/>
        </w:rPr>
        <w:t xml:space="preserve">وكانت أمُّ الحَكَمِ ابنةُ أبي سفيانَ تحتَ عِياضِ بنِ غَنْمٍ الفِهْرِيِّ فطَلَّقَها،  </w:t>
      </w:r>
      <w:r>
        <w:rPr>
          <w:color w:val="000000"/>
          <w:rtl w:val="1"/>
        </w:rPr>
        <w:t xml:space="preserve">فتَزوَّجَها عبدُ الله بنُ عُثمانَ الثَّقَفيُّ. </w:t>
      </w:r>
    </w:p>
    <w:p>
      <w:pPr>
        <w:bidi w:val="1"/>
        <w:jc w:val="start"/>
      </w:pPr>
      <w:r>
        <w:rPr>
          <w:rtl w:val="1"/>
        </w:rPr>
        <w:t>الشرح: الدلالة: التفريق عن طريق الشرع (بعد ثبوت العقد الصحيح) - طرق انحلال الزواج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