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رفع اليدين إذا ركع،وإذا رفع رأسه من الركوع-كتاب إقامة الصلاة-سنن ابن ماجة — رقم الحديث: 865 — الرقم الفرعي: 99 — الرقم الأصلي: 865</w:t>
        <w:br/>
      </w:r>
      <w:r>
        <w:rPr>
          <w:rtl w:val="1"/>
        </w:rPr>
        <w:t xml:space="preserve"> حدثنا أيوب بن محمد الهاشميّ ثنا عمر بن رِباح عن عبد الله بن طاوُس عن أبيه عن ابن عبّاس</w:t>
        <w:br/>
      </w:r>
      <w:r>
        <w:rPr>
          <w:color w:val="000000"/>
          <w:rtl w:val="1"/>
        </w:rPr>
        <w:t xml:space="preserve">أنّ رسولَ الله ﷺ كان يرفعُ يديْه عند كلّ تكبيرةٍ.   </w:t>
      </w:r>
    </w:p>
    <w:p>
      <w:pPr>
        <w:bidi w:val="1"/>
        <w:jc w:val="start"/>
      </w:pPr>
      <w:r>
        <w:rPr>
          <w:rtl w:val="1"/>
        </w:rPr>
        <w:t>درجة الحديث: ضعيف جدا / ضعيف جدا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