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كم الصاع في الكفارة-كتاب الإيمان والنذور-سنن أبي داود — رقم الحديث: 3279 — الرقم الفرعي: 99 — الرقم الأصلي: 3279</w:t>
        <w:br/>
      </w:r>
      <w:r>
        <w:rPr>
          <w:rtl w:val="1"/>
        </w:rPr>
        <w:t xml:space="preserve"> حدثنا أحمد بن صالح قال:قرأت على أنس بن عياض حدثني عبد الرحمن بن حرملة عن أم حبيب بنت ذؤيب بن قيس المزنيّة ملاحظة وكانت تحت رجُل منهم من أسلم،ثم كانت تحت ابن أخ لصفيّة زوج النبيّ صلى الله عليه وسلم قال ابن حرملة</w:t>
        <w:br/>
      </w:r>
      <w:r>
        <w:rPr>
          <w:color w:val="FF0000"/>
          <w:rtl w:val="1"/>
        </w:rPr>
        <w:t xml:space="preserve">فوَهَبَتْ لنا أمُّ حَبِيبٍ صاعًا،  </w:t>
      </w:r>
      <w:r>
        <w:rPr>
          <w:color w:val="000000"/>
          <w:rtl w:val="1"/>
        </w:rPr>
        <w:t xml:space="preserve">حدَّثَتْنا عن ابن أَخي صَفِيَّة، عن صَفِيَّة: أنّه صاعُ النّبيِّ ﷺ.  </w:t>
      </w:r>
      <w:r>
        <w:rPr>
          <w:color w:val="000000"/>
          <w:rtl w:val="1"/>
        </w:rPr>
        <w:t xml:space="preserve">قال أَنس: فجرَّبتُه - أو قال: فحَزَرتُه - فوجدتُه مُدَّينِ ونِصفًا، بمُدِّ هِشام. </w:t>
      </w:r>
    </w:p>
    <w:p>
      <w:pPr>
        <w:bidi w:val="1"/>
        <w:jc w:val="start"/>
      </w:pPr>
      <w:r>
        <w:rPr>
          <w:rtl w:val="1"/>
        </w:rPr>
        <w:t xml:space="preserve">درجة الحديث: إسناده ضعيف </w:t>
      </w:r>
    </w:p>
    <w:p>
      <w:pPr>
        <w:bidi w:val="1"/>
        <w:jc w:val="start"/>
      </w:pPr>
      <w:r>
        <w:rPr>
          <w:rtl w:val="1"/>
        </w:rPr>
        <w:t>الشرح: الدلالة: حكم الهبة ومشروعيتها وفضلها - الهبة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