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الاستعفاف-كتاب الزكاة-سنن أبي داود — رقم الحديث: 1645 — الرقم الفرعي: 99 — الرقم الأصلي: 1645</w:t>
        <w:br/>
      </w:r>
      <w:r>
        <w:rPr>
          <w:rtl w:val="1"/>
        </w:rPr>
        <w:t xml:space="preserve"> حدثنا مُسَدّد ثنا عبد الله بن داود ح وثنا عبد الملك بن حبيب أبو مروان ثنا ابن المبارك ملاحظة وهذا حديثه عن بشير بن سلمان عن سيّار أبي حمزة عن طارق عن ابن مسعود قال:قال رسول الله صلى الله عليه وسلم</w:t>
        <w:br/>
      </w:r>
      <w:r>
        <w:rPr>
          <w:color w:val="FF0000"/>
          <w:rtl w:val="1"/>
        </w:rPr>
        <w:t xml:space="preserve">«مَنْ أصابته فَاقَةٌ فأنزلها بالناسِ، لم تُسَدَّ فاقتُه، ومن أنزلها بالله أوشَك الله له بالغنى: إمَّا بموت عاجل، أو غِنًى عاجل».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