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ما جاء في ثواب الشهداء-كتاب فضائل الجهاد-سنن الترمذي — رقم الحديث: 1640 — الرقم الفرعي: 99 — الرقم الأصلي: 1640</w:t>
        <w:br/>
      </w:r>
      <w:r>
        <w:rPr>
          <w:rtl w:val="1"/>
        </w:rPr>
        <w:t xml:space="preserve"> حدثنا يحيى بن طلحة اليربوعيّ الكوفيّ حدثنا أبو بكر بن عيّاش عن حُميد عن أنس قال:قال رسول الله صلى الله عليه وسلم</w:t>
        <w:br/>
      </w:r>
      <w:r>
        <w:rPr>
          <w:color w:val="FF0000"/>
          <w:rtl w:val="1"/>
        </w:rPr>
        <w:t xml:space="preserve">«القَتْلُ في سَبِيلِ اللهِ يُكَفِّرُ ‌كُلَّ ‌خَطِيئَةٍ، فقال جِبْريلُ: إلَّا الدَّيْنَ»، فقال النبيُّ ﷺ: «إلَّا الدَّيْنَ». </w:t>
      </w:r>
      <w:r>
        <w:rPr>
          <w:color w:val="000000"/>
          <w:rtl w:val="1"/>
        </w:rPr>
        <w:t xml:space="preserve">وفي البابِ عن كَعْبِ بن عُجْرةَ، وَجَابرٍ، وأبي هُريرةَ، وأبي قَتادةَ. </w:t>
      </w:r>
      <w:r>
        <w:rPr>
          <w:color w:val="000000"/>
          <w:rtl w:val="1"/>
        </w:rPr>
        <w:t xml:space="preserve">وحديث أنس حديثٌ غريبٌ، لا نَعْرِفهُ من حديثِ أبي بكْرٍ إلَّا من حديثِ هذا الشَّيْخِ. </w:t>
      </w:r>
      <w:r>
        <w:rPr>
          <w:color w:val="000000"/>
          <w:rtl w:val="1"/>
        </w:rPr>
        <w:t xml:space="preserve">وَسَألْتُ محمدَ بن إسماعيلَ عن هذا الحديثِ فلم يَعْرِفهُ، وقال: أُرَى أنّهُ أرَادَ حديثَ حُمَيْدٍ، عن أنَسٍ، عن النبيِّ ﷺ أنَّهُ قال: «لَيْسَ أحدٌ من أهْلِ الجَنّةِ يَسُرُّهُ أنْ يَرْجِعَ إلى الدُّنْيا إلَّا الشَّهِيدُ». </w:t>
      </w:r>
      <w:r>
        <w:rPr>
          <w:color w:val="000000"/>
          <w:rtl w:val="1"/>
        </w:rPr>
        <w:t xml:space="preserve"> </w:t>
      </w:r>
    </w:p>
    <w:p>
      <w:pPr>
        <w:bidi w:val="1"/>
        <w:jc w:val="start"/>
      </w:pPr>
      <w:r>
        <w:rPr>
          <w:rtl w:val="1"/>
        </w:rPr>
        <w:t>درجة الحديث: صحيح لغيره</w:t>
      </w:r>
    </w:p>
    <w:p>
      <w:pPr>
        <w:bidi w:val="1"/>
        <w:jc w:val="start"/>
      </w:pPr>
      <w:r>
        <w:rPr>
          <w:rtl w:val="1"/>
        </w:rPr>
        <w:t>الشرح: الدلالة: كفارات السيئات - السيئات</w:t>
      </w:r>
    </w:p>
    <w:p>
      <w:pPr>
        <w:bidi w:val="1"/>
        <w:jc w:val="start"/>
      </w:pPr>
      <w:r>
        <w:rPr>
          <w:rtl w:val="1"/>
        </w:rPr>
        <w:t>الشرح: الدلالة: التميز - المباديء</w:t>
      </w:r>
    </w:p>
    <w:p>
      <w:pPr>
        <w:bidi w:val="1"/>
        <w:jc w:val="start"/>
      </w:pPr>
      <w:r>
        <w:rPr>
          <w:rtl w:val="1"/>
        </w:rPr>
        <w:t>الشرح: الدلالة: كفارات الكبائر. - الكبائر</w:t>
      </w:r>
    </w:p>
    <w:p>
      <w:pPr>
        <w:bidi w:val="1"/>
        <w:jc w:val="start"/>
      </w:pPr>
      <w:r>
        <w:rPr>
          <w:rtl w:val="1"/>
        </w:rPr>
        <w:t>الشرح: الدلالة: الدافع (الباعث والحافزوالتعزيز) - مبادئ التعلم وشروطه</w:t>
      </w:r>
    </w:p>
    <w:p>
      <w:pPr>
        <w:bidi w:val="1"/>
        <w:jc w:val="start"/>
      </w:pPr>
      <w:r>
        <w:rPr>
          <w:rtl w:val="1"/>
        </w:rPr>
        <w:t>الشرح: الدلالة: التربية الجهادية - الأهداف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الوحي - طرق المعرفة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