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خطبة النكاح-كتاب النكاح-سنن أبي داود — رقم الحديث: 2118 — الرقم الفرعي: 99 — الرقم الأصلي: 2118</w:t>
        <w:br/>
      </w:r>
      <w:r>
        <w:rPr>
          <w:rtl w:val="1"/>
        </w:rPr>
        <w:t xml:space="preserve"> حدثنا محمد بن كثير أخبرنا سفيان عن أبي إسحاق عن أبي عبيدة عن عبد الله بن مسعود ملاحظة في خطبة الحاجة في النّكاح وغيره ح وحدثنا محمد بن سليمان الأنباريّ ملاحظة المعنى ثنا وكيع عن إسرائيل عن أبي إسحاق عن أبي الأحوص و أبي عبيدة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علَّمنا رسولُ الله ﷺ خُطبةَ الحاجةِ:  </w:t>
      </w:r>
      <w:r>
        <w:rPr>
          <w:color w:val="FF0000"/>
          <w:rtl w:val="1"/>
        </w:rPr>
        <w:t xml:space="preserve">«إنَّ الحمدَ لله، نَستعينُه ونَستغفِرُه، ونَعوذُ به مِن شُرورِ أَنفُسنا،  </w:t>
      </w:r>
      <w:r>
        <w:rPr>
          <w:color w:val="FF0000"/>
          <w:rtl w:val="1"/>
        </w:rPr>
        <w:t xml:space="preserve">مَن يَهدهِ اللهُ فلا مُضِلَّ له، ومن يُضْلِلْ فلا هادِيَ له،  </w:t>
      </w:r>
      <w:r>
        <w:rPr>
          <w:color w:val="FF0000"/>
          <w:rtl w:val="1"/>
        </w:rPr>
        <w:t xml:space="preserve">وأَشهدُ أن لا إلهَ إلّا اللهُ، وأَشهدُ أنَّ محمّدًاعبدُه ورَسولُه،  </w:t>
      </w:r>
      <w:r>
        <w:rPr>
          <w:color w:val="FF0000"/>
          <w:rtl w:val="1"/>
        </w:rPr>
        <w:t xml:space="preserve">يا أيُّها الذينَ آمَنوا ﴿اتَّقُوا اللَّهَ الَّذِي تَسَاءَلُونَ بِهِ وَالْأَرْحَامَ إِنَّ اللَّهَ كَانَ عَلَيْكُمْ رَقِيبًا﴾ [النساء: 1]،  </w:t>
      </w:r>
      <w:r>
        <w:rPr>
          <w:color w:val="FF0000"/>
          <w:rtl w:val="1"/>
        </w:rPr>
        <w:t xml:space="preserve">﴿يَا أَيُّهَا الَّذِينَ آمَنُوا اتَّقُوا اللَّهَ حَقَّ تُقَاتِهِ وَلَا تَمُوتُنَّ إِلَّا وَأَنْتُمْ مُسْلِمُونَ﴾ [آل عمران: 102]،  </w:t>
      </w:r>
      <w:r>
        <w:rPr>
          <w:color w:val="FF0000"/>
          <w:rtl w:val="1"/>
        </w:rPr>
        <w:t xml:space="preserve">﴿يَا أَيُّهَا الَّذِينَ آمَنُوا اتَّقُوا اللَّهَ وَقُولُوا قَوْلًا سَدِيدًا * يُصْلِحْ لَكُمْ أَعْمَالَكُمْ وَيَغْفِرْ لَكُمْ ذُنُوبَكُمْ وَمَنْ يُطِعِ اللَّهَ وَرَسُولَهُ فَقَدْ فَازَ فَوْزًا عَظِيمًا﴾ [الأحزاب:70 - 71].  </w:t>
      </w:r>
      <w:r>
        <w:rPr>
          <w:color w:val="000000"/>
          <w:rtl w:val="1"/>
        </w:rPr>
        <w:t xml:space="preserve">لم يقل محمد بن سليمان: «إنَّ».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قراءة القرآن في الخطبة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الخُطبة عند الزواج - صيغة العقد</w:t>
      </w:r>
    </w:p>
    <w:p>
      <w:pPr>
        <w:bidi w:val="1"/>
        <w:jc w:val="start"/>
      </w:pPr>
      <w:r>
        <w:rPr>
          <w:rtl w:val="1"/>
        </w:rPr>
        <w:t>الشرح: الدلالة: أذكار العقد  وأدعيته - الأذكار للزواج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