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2475 — الرقم الفرعي: 99 — الرقم الأصلي: 2475 — ج: 1 — ص: 273</w:t>
        <w:br/>
      </w:r>
      <w:r>
        <w:rPr>
          <w:rtl w:val="1"/>
        </w:rPr>
        <w:t xml:space="preserve"> حدثنا أبو أحمد حدثنا سفيان عن عطاء بن السائب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أخذ النبي ﷺ بنتًا له تَقضِي فاحتَضَنَها، فوَضَعَها بَينَ ثَدْيَيه، فمَاتَت وهي بَينَ ثَدْييه،  </w:t>
      </w:r>
      <w:r>
        <w:rPr>
          <w:color w:val="000000"/>
          <w:rtl w:val="1"/>
        </w:rPr>
        <w:t xml:space="preserve">فصاحَت أُمُّ أيمن، فقِيل: أَتبْكِي عِندَ رسول الله ﷺ؟ قالت: أَلستُ أَراكَ تَبكِي يا رسول الله؟  </w:t>
      </w:r>
      <w:r>
        <w:rPr>
          <w:color w:val="000000"/>
          <w:rtl w:val="1"/>
        </w:rPr>
        <w:t xml:space="preserve">قال: «لستُ أَبكِي، إنَّما هِي رَحمَةٌ،  </w:t>
      </w:r>
      <w:r>
        <w:rPr>
          <w:color w:val="000000"/>
          <w:rtl w:val="1"/>
        </w:rPr>
        <w:t xml:space="preserve">إنَّ المُؤمِنَ بِكُلّ خَيرٍ على كُلِّ حال،  </w:t>
      </w:r>
      <w:r>
        <w:rPr>
          <w:color w:val="FF0000"/>
          <w:rtl w:val="1"/>
        </w:rPr>
        <w:t xml:space="preserve">إنَّ نفسَه تَخرُجُ مِن بَين جَنبَيه وهو يَحمَدُ اللهَ عز وجل».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الحمد على السراء والضراء - قيم الحَمد والشُّكر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