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اشترى متاعاً أو دابةً-كتاب البيوع-صحيح البخاري — رقم الحديث: 2138 — الرقم الفرعي: 99 — الرقم الأصلي: 2138</w:t>
        <w:br/>
      </w:r>
      <w:r>
        <w:rPr>
          <w:rtl w:val="1"/>
        </w:rPr>
        <w:t xml:space="preserve"> حدثنا فروة بن أبي المغراء أخبرنا عليّ بن مسهر عن هشام عن أبيه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لَقَلَّ يومٌ كانَ يأْتي على النّبيِّ ﷺ إلَّا يأْتي فيه بيتَ أبي بكرٍ أحدَ طَرَفَيِ النَّهارِ،  </w:t>
      </w:r>
      <w:r>
        <w:rPr>
          <w:color w:val="FF0000"/>
          <w:rtl w:val="1"/>
        </w:rPr>
        <w:t xml:space="preserve">فلمّا أُذِنَ له في الخروجِ إلى المدينةِ لم يَرُعْنا إلَّا وقد أتانا ظُهْرًا، فخُبِّرَ به أبو بكرٍ، فقال: ما جاءَنا النّبيُّ ﷺ في هذه السّاعةِ إلَّا لأمرٍ حَدَثَ،  </w:t>
      </w:r>
      <w:r>
        <w:rPr>
          <w:color w:val="FF0000"/>
          <w:rtl w:val="1"/>
        </w:rPr>
        <w:t xml:space="preserve">فلمّا دَخَلَ عليه قال لأبي بكرٍ: «أَخرِجْ مَن عندَكَ» قال: يا رسولَ الله، إنَّما هما ابنَتايَ - يعني: عائشةَ وأسماءَ -  </w:t>
      </w:r>
      <w:r>
        <w:rPr>
          <w:color w:val="FF0000"/>
          <w:rtl w:val="1"/>
        </w:rPr>
        <w:t xml:space="preserve">قال: «أشَعَرْتَ أنَّه قد أُذِنَ لي في الخروجِ» قال: الصُّحْبةَ يا رسولَ الله، قال: «الصُّحْبةَ»  </w:t>
      </w:r>
      <w:r>
        <w:rPr>
          <w:color w:val="FF0000"/>
          <w:rtl w:val="1"/>
        </w:rPr>
        <w:t xml:space="preserve">قال: يا رسولَ الله، إنَّ عندي ناقتَينِ أعدَدْتُهما للخروجِ، فخُذْ إحداهما،  </w:t>
      </w:r>
      <w:r>
        <w:rPr>
          <w:color w:val="FF0000"/>
          <w:rtl w:val="1"/>
        </w:rPr>
        <w:t xml:space="preserve">قال: «قد أخَذْتُها بالثَّمَنِ». </w:t>
      </w:r>
    </w:p>
    <w:p>
      <w:pPr>
        <w:bidi w:val="1"/>
        <w:jc w:val="start"/>
      </w:pPr>
      <w:r>
        <w:rPr>
          <w:rtl w:val="1"/>
        </w:rPr>
        <w:t>الشرح: الدلالة: التولية - بيوع الأمانة (المرابحة، التولية، الوضيعة)</w:t>
      </w:r>
    </w:p>
    <w:p>
      <w:pPr>
        <w:bidi w:val="1"/>
        <w:jc w:val="start"/>
      </w:pPr>
      <w:r>
        <w:rPr>
          <w:rtl w:val="1"/>
        </w:rPr>
        <w:t>الشرح: الدلالة: حسن تصرفه ﷺ - الباب الرابع: حسن تصرف النبي ﷺ ...</w:t>
      </w:r>
    </w:p>
    <w:p>
      <w:pPr>
        <w:bidi w:val="1"/>
        <w:jc w:val="start"/>
      </w:pPr>
      <w:r>
        <w:rPr>
          <w:rtl w:val="1"/>
        </w:rPr>
        <w:t xml:space="preserve">الشرح: الدلالة: اتخاذه ﷺ التدابير السرية في بعض الأمور - المعارف والعلوم المتعلقة بسياسة الأمة وقيادتها </w:t>
      </w:r>
    </w:p>
    <w:p>
      <w:pPr>
        <w:bidi w:val="1"/>
        <w:jc w:val="start"/>
      </w:pPr>
      <w:r>
        <w:rPr>
          <w:rtl w:val="1"/>
        </w:rPr>
        <w:t>الشرح: الدلالة: الإعداد للهجرة النبوية - الهجرة النبوية</w:t>
      </w:r>
    </w:p>
    <w:p>
      <w:pPr>
        <w:bidi w:val="1"/>
        <w:jc w:val="start"/>
      </w:pPr>
      <w:r>
        <w:rPr>
          <w:rtl w:val="1"/>
        </w:rPr>
        <w:t>الشرح: الدلالة: الأمر بالهجرة - الهجرة النبوية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