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الخضاب-كتاب الترجل-سنن أبي داود — رقم الحديث: 4205 — الرقم الفرعي: 99 — الرقم الأصلي: 4205</w:t>
        <w:br/>
      </w:r>
      <w:r>
        <w:rPr>
          <w:rtl w:val="1"/>
        </w:rPr>
        <w:t xml:space="preserve"> حدثنا الحسن بن عليّ ثنا عبد الرزاق ثنا مَعمر عن سعيد الجريريّ عن عبد الله بن بُرَيْدَة عن أبي الأسود الديليّ عن أبي ذر قال:قال رسول الله صلى الله عليه وسلم</w:t>
        <w:br/>
      </w:r>
      <w:r>
        <w:rPr>
          <w:color w:val="FF0000"/>
          <w:rtl w:val="1"/>
        </w:rPr>
        <w:t xml:space="preserve">«إنَّ أحسَنَ ما غُيِّر به هذا الشَّيبُ الحِنَّاءُ والكَتَمُ».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الرعاية الوجدانية (يحال إلى النظام التربوي القيم الوجدانية والجمالية)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قيمة جمال الإنسان وحُسْن هَيئتِه - قيم تذوق الجمال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