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 ما جاء في الجلاجل-كتاب الخاتم-سنن أبي داود — رقم الحديث: 4230 — الرقم الفرعي: 99 — الرقم الأصلي: 4230</w:t>
        <w:br/>
      </w:r>
      <w:r>
        <w:rPr>
          <w:rtl w:val="1"/>
        </w:rPr>
        <w:t xml:space="preserve"> حدثنا عليّ بن سهل و إبراهيم بن الحسن قالا:ثنا عن ابن جريج أخبرني عمر بن حفص أنّ عامر بن عبد الله قال عليّ بن الزبير</w:t>
        <w:br/>
      </w:r>
      <w:r>
        <w:rPr>
          <w:color w:val="000000"/>
          <w:rtl w:val="1"/>
        </w:rPr>
        <w:t xml:space="preserve">أخبره: </w:t>
      </w:r>
      <w:r>
        <w:rPr>
          <w:color w:val="FF0000"/>
          <w:rtl w:val="1"/>
        </w:rPr>
        <w:t xml:space="preserve">أنَّ مولاةً لهم ذَهبَت بابنةِ الزُّبير إلى عمرَ بنِ الخطَّابِ، وفي رِجْلَها أَجراسٌ،  </w:t>
      </w:r>
      <w:r>
        <w:rPr>
          <w:color w:val="FF0000"/>
          <w:rtl w:val="1"/>
        </w:rPr>
        <w:t xml:space="preserve">فقَطَعَها عُمَرُ،  </w:t>
      </w:r>
      <w:r>
        <w:rPr>
          <w:color w:val="FF0000"/>
          <w:rtl w:val="1"/>
        </w:rPr>
        <w:t xml:space="preserve">ثم قال: سمِعتُ رسولَ الله ﷺ يقول:  </w:t>
      </w:r>
      <w:r>
        <w:rPr>
          <w:color w:val="FF0000"/>
          <w:rtl w:val="1"/>
        </w:rPr>
        <w:t xml:space="preserve">«إنَّ مَعَ كُلِّ جَرَسٍ شيطانًا».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النهي عن تعليق الأجراس - تزيين الدواب والمراكب</w:t>
      </w:r>
    </w:p>
    <w:p>
      <w:pPr>
        <w:bidi w:val="1"/>
        <w:jc w:val="start"/>
      </w:pPr>
      <w:r>
        <w:rPr>
          <w:rtl w:val="1"/>
        </w:rPr>
        <w:t>الشرح: الدلالة: التحلي بالأجراس والنهي عنه - التحلي بغير الذهب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