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16667 — الرقم الفرعي: 99 — الرقم الأصلي: 16667 — ج: 4 — ص: 71</w:t>
        <w:br/>
      </w:r>
      <w:r>
        <w:rPr>
          <w:rtl w:val="1"/>
        </w:rPr>
        <w:t xml:space="preserve"> حدثنا أبو حميد الحمصيّ،أحمد بن محمد بن المغيرة بن يسار قال:ثنا حَيْوَة قال:ثنا صفوان بن عمرو عن راشد بن سعد</w:t>
        <w:br/>
      </w:r>
      <w:r>
        <w:rPr>
          <w:color w:val="000000"/>
          <w:rtl w:val="1"/>
        </w:rPr>
        <w:t xml:space="preserve">قال: لمّا فُتِحت اصْطَخْر، نادَى مُنادٍ: ألَا إنَّ الدَّجالَ قد خَرَج،  </w:t>
      </w:r>
      <w:r>
        <w:rPr>
          <w:color w:val="FF0000"/>
          <w:rtl w:val="1"/>
        </w:rPr>
        <w:t xml:space="preserve">قال: فلَقِيَهم الصَّعبُ بنُ جَثَّامة، قال: فقال: لولا ما تَقولونَ لأَخبَرتُكم أنِّي سمِعتُ رسولَ الله ﷺ يقول:  </w:t>
      </w:r>
      <w:r>
        <w:rPr>
          <w:color w:val="FF0000"/>
          <w:rtl w:val="1"/>
        </w:rPr>
        <w:t xml:space="preserve">«لا يَخرُجُ الدَّجّالُ حتى يَذْهَلَ الناسُ عن ذِكرِه، وحتى تَتركَ الأَئمَّةُ ذِكرَه على المَنابِر».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