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عطية المرأة بغير إذن زوجها-كتاب العمرى-سنن النسائي — رقم الحديث: 3758 — الرقم الفرعي: 99 — الرقم الأصلي: 3758</w:t>
        <w:br/>
      </w:r>
      <w:r>
        <w:rPr>
          <w:rtl w:val="1"/>
        </w:rPr>
        <w:t xml:space="preserve"> أخبرنا هنّاد بن السّرّيّ قال:حدثنا أبو بكر بن عيّاش عن يحيى بن أبي هانىء عن أبي حذيفة عن عبد الملك بن محمد بن بشير عن عبد الرحمن بن علقمة الثقفيّ</w:t>
        <w:br/>
      </w:r>
      <w:r>
        <w:rPr>
          <w:color w:val="000000"/>
          <w:rtl w:val="1"/>
        </w:rPr>
        <w:t xml:space="preserve">قال: قَدَم وفدُ ثَقيفٍ على رسولِ الله ﷺ ومعَهم هَدِيَّة،  </w:t>
      </w:r>
      <w:r>
        <w:rPr>
          <w:color w:val="FF0000"/>
          <w:rtl w:val="1"/>
        </w:rPr>
        <w:t xml:space="preserve">فقال: «أَهديَّةٌ أم صَدَقة؟ </w:t>
      </w:r>
      <w:r>
        <w:rPr>
          <w:color w:val="FF0000"/>
          <w:rtl w:val="1"/>
        </w:rPr>
        <w:t xml:space="preserve">فإن كانت هَديَّةً فإنّما يُبتغَى بها وَجهُ رسولِ الله ﷺ وقضاءُ الحَاجة،  </w:t>
      </w:r>
      <w:r>
        <w:rPr>
          <w:color w:val="FF0000"/>
          <w:rtl w:val="1"/>
        </w:rPr>
        <w:t xml:space="preserve">وإن كانت صَدَقةً فإنّما يُبتغَى بها وَجهُ اللهِ عزَّ وجلّ»،  </w:t>
      </w:r>
      <w:r>
        <w:rPr>
          <w:color w:val="000000"/>
          <w:rtl w:val="1"/>
        </w:rPr>
        <w:t xml:space="preserve">قالوا: لا بل هَديّة،  </w:t>
      </w:r>
      <w:r>
        <w:rPr>
          <w:color w:val="000000"/>
          <w:rtl w:val="1"/>
        </w:rPr>
        <w:t xml:space="preserve">فقَبِلَها منهم، وقَعَدَ معهم يُسائِلُهم ويُسائِلونَه، حتى صلَّى الظُّهرَ مع العصر.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