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إذا طهرت الحائض أو قدم المسافر في رمضان،هل يصوم بقيّة يومه-كتاب الصيام-سنن النسائي — رقم الحديث: 2320 — الرقم الفرعي: 99 — الرقم الأصلي: 2320</w:t>
        <w:br/>
      </w:r>
      <w:r>
        <w:rPr>
          <w:rtl w:val="1"/>
        </w:rPr>
        <w:t xml:space="preserve"> أخبرنا عبد الله بن أحمد بن عبد الله بن يونس أبو حصين قال:حدثنا عَبثر قال:حدثنا حُصين عن الشعبيّ عن محمد بن صيفيّ</w:t>
        <w:br/>
      </w:r>
      <w:r>
        <w:rPr>
          <w:color w:val="FF0000"/>
          <w:rtl w:val="1"/>
        </w:rPr>
        <w:t xml:space="preserve">قال: قال رسولُ اللهِ ﷺ يَومَ عاشُورَاء: «أَمِنكُم أَحَدٌ أَكلَ اليَومَ؟» فقالوا: مِنّا مَن صَامَ، ومِنّا مَن لَم يَصُم، قال:  </w:t>
      </w:r>
      <w:r>
        <w:rPr>
          <w:color w:val="FF0000"/>
          <w:rtl w:val="1"/>
        </w:rPr>
        <w:t xml:space="preserve">«فأَتِمُّوا بَقِيَّةَ يَومِكُم، وابعَثُوا إلى أَهلِ العَروضِ، فليُتِمّوا بَقِيَّة يَومِهِم».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النية للصيام - أركان الصيام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ما ورد في عاشوراء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الصيام قبل أن يفرض رمضان - مشروعية الصيام</w:t>
      </w:r>
    </w:p>
    <w:p>
      <w:pPr>
        <w:bidi w:val="1"/>
        <w:jc w:val="start"/>
      </w:pPr>
      <w:r>
        <w:rPr>
          <w:rtl w:val="1"/>
        </w:rPr>
        <w:t>الشرح: الدلالة: وقت الإمساك في أول أمر الصيام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