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أسماء الله الحسنى بالتفصيل-كتاب الدعوات-سنن الترمذي — رقم الحديث: 3510 — الرقم الفرعي: 99 — الرقم الأصلي: 3506</w:t>
        <w:br/>
      </w:r>
      <w:r>
        <w:rPr>
          <w:rtl w:val="1"/>
        </w:rPr>
        <w:t xml:space="preserve"> حدثنا عبد الوارث بن عبد الصمد بن عبد الوارث قال:حدثني أبي قال:حدثنا محمد بن ثابت ملاحظة هو البُنانيّ حدثني أبي عن أنس بن مالك أنّ رسول الله صلى الله عليه وسلم</w:t>
        <w:br/>
      </w:r>
      <w:r>
        <w:rPr>
          <w:color w:val="FF0000"/>
          <w:rtl w:val="1"/>
        </w:rPr>
        <w:t xml:space="preserve">قال: «إذا مَرَرْتُمْ بِرياضِ الجنَّةِ، فارْتَعُوا» قالوا: وَما رِياضُ الجنةِ؟ قال: «حِلَقُ ‌الذِّكْرِ».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الاجتماع على ذكر الله تعالى وفضل ذلك. - آداب الذكر والدعاء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