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1886 — الرقم الفرعي: 99 — الرقم الأصلي: 1886 — ج: 1 — ص: 218</w:t>
        <w:br/>
      </w:r>
      <w:r>
        <w:rPr>
          <w:rtl w:val="1"/>
        </w:rPr>
        <w:t xml:space="preserve"> حدثنا ابن أبي عديّ عن سعيد عن قتادة عن عكرمة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لابن عبَّاس: صليتُ الظُّهرَ بالبَطحاءِ خلفَ شيخٍ أَحمقَ، فكبَّر ثِنتَين وعشرينَ تكبيرةً، يُكبِّر إذا سَجدَ، وإذا رَفعَ رأسَه؟  </w:t>
      </w:r>
      <w:r>
        <w:rPr>
          <w:color w:val="FF0000"/>
          <w:rtl w:val="1"/>
        </w:rPr>
        <w:t xml:space="preserve">قال: فقال ابنُ عبّاس: تلكَ صَلاةُ أَبي القاسِم عليه الصّلاةُ والسّلام.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تكبيره ﷺ في كل خفض ورفع إلا في رفعه من الركوع فيقول سمع الله لمن حمده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