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الغُلول-كتاب السِّيَر-سنن الترمذي — رقم الحديث: 1572 — الرقم الفرعي: 99 — الرقم الأصلي: 1572</w:t>
        <w:br/>
      </w:r>
      <w:r>
        <w:rPr>
          <w:rtl w:val="1"/>
        </w:rPr>
        <w:t xml:space="preserve"> حدثني أبو رجاء،قتيبة بن سعيد حدثنا أبو عوانة عن قتادة عن سالم بن أبي الجعد عن ثَوبان قال:قال رسول الله صلى الله عليه وسلم</w:t>
        <w:br/>
      </w:r>
      <w:r>
        <w:rPr>
          <w:color w:val="FF0000"/>
          <w:rtl w:val="1"/>
        </w:rPr>
        <w:t xml:space="preserve">«مَن ماتَ وهو بَريءٌ من الكِبْر، والغُلولِ، والدَّين، دَخلَ الجَنّة».  </w:t>
      </w:r>
      <w:r>
        <w:rPr>
          <w:color w:val="000000"/>
          <w:rtl w:val="1"/>
        </w:rPr>
        <w:t xml:space="preserve">وفي الباب عن أَبي هُريرةَ، وزَيدِ بنِ خالدٍ الجُهَنيّ.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وجوب إيفاء الدين عند القدرة - إيفاء الدَّين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