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استقبال الإمام إذا خطب-أبواب الصلاة-سنن الترمذي — رقم الحديث: 509 — الرقم الفرعي: 99 — الرقم الأصلي: 509</w:t>
        <w:br/>
      </w:r>
      <w:r>
        <w:rPr>
          <w:rtl w:val="1"/>
        </w:rPr>
        <w:t xml:space="preserve"> حدثنا عبّاد بن يعقوب الكوفيّ حدثنا محمد بن الفضل بن عطيّة عن منصور عن إبراهيم عن علقمة عن عبد الله بن مسعود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رَسولُ الله ﷺ إذا استَوى على المِنبَر استَقبلْناهُ بوُجوهِنا. </w:t>
      </w:r>
      <w:r>
        <w:rPr>
          <w:color w:val="000000"/>
          <w:rtl w:val="1"/>
        </w:rPr>
        <w:t xml:space="preserve">وفي الباب عن ابنِ عُمر. </w:t>
      </w:r>
      <w:r>
        <w:rPr>
          <w:color w:val="000000"/>
          <w:rtl w:val="1"/>
        </w:rPr>
        <w:t xml:space="preserve">وحديثُ منصورٍ لا نَعرفُه إلّا مِن حديثِ محمّدِ بنِ الفَضْل بنِ عَطِيّة، ومحمدُ بنُ الفَضل بنِ عَطيّةَ ضعيفٌ ذاهبُ الحديث عندَ أصحابنا. </w:t>
      </w:r>
      <w:r>
        <w:rPr>
          <w:color w:val="000000"/>
          <w:rtl w:val="1"/>
        </w:rPr>
        <w:t xml:space="preserve">والعملُ على هذا عندَ أَهل العِلم، مِن أَصحابِ النّبيِّ ﷺ، وغيرِهم: يَستحبُّون استقبالَ الإمامِ إذا خَطَبَ، وهو قولُ سفيانَ الثّوريِّ، والشّافعيِّ، وأحمدَ، وإسحاق. </w:t>
      </w:r>
      <w:r>
        <w:rPr>
          <w:color w:val="000000"/>
          <w:rtl w:val="1"/>
        </w:rPr>
        <w:t xml:space="preserve">ولا يصحُّ في هذا البابِ عن النّبيِّ ﷺ شيء.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