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وسلم:يغذّب الميت ببعض بكاء أهله عليه-كتاب الجنائز-صحيح البخاري — رقم الحديث: 1288 — الرقم الفرعي: 99 — الرقم الأصلي: 1288</w:t>
        <w:br/>
      </w:r>
      <w:r>
        <w:rPr>
          <w:rtl w:val="1"/>
        </w:rPr>
        <w:t xml:space="preserve"> قال ابن عباس رضي الله عنهما</w:t>
        <w:br/>
      </w:r>
      <w:r>
        <w:rPr>
          <w:color w:val="FF0000"/>
          <w:rtl w:val="1"/>
        </w:rPr>
        <w:t xml:space="preserve">فلمّا ماتَ عمرُ، رضي الله عنه، ذَكَرْتُ ذلكَ لعائشةَ، رضي الله عنها،  </w:t>
      </w:r>
      <w:r>
        <w:rPr>
          <w:color w:val="FF0000"/>
          <w:rtl w:val="1"/>
        </w:rPr>
        <w:t xml:space="preserve">فقالت: رَحِمَ اللهُ عمرَ، والله ما حَدَّثَ رسولُ الله ﷺ: إنَّ اللهَ لَيُعذِّبُ المؤمِنَ ببُكاءِ أهلِه عليه، ولكنَّ رسولَ الله ﷺ قال: «إنَّ اللهَ لَيزيدُ الكافرَ عَذابًا ببُكاءِ أهلِه عليه».  </w:t>
      </w:r>
      <w:r>
        <w:rPr>
          <w:color w:val="FF0000"/>
          <w:rtl w:val="1"/>
        </w:rPr>
        <w:t xml:space="preserve">وقالت: حَسْبُكُم القرآنُ: ﴿وَلَا تَزِرُ وَازِرَةٌ وِزْرَ أُخْرَى﴾.  </w:t>
      </w:r>
      <w:r>
        <w:rPr>
          <w:color w:val="000000"/>
          <w:rtl w:val="1"/>
        </w:rPr>
        <w:t xml:space="preserve">قال ابنُ عبَّاسٍ، رضي الله عنهما، عندَ ذلكَ: واللهُ ﴿هُوَ أَضْحَكَ وَأَبْكَى﴾ [النجم:43]. </w:t>
      </w:r>
      <w:r>
        <w:rPr>
          <w:color w:val="000000"/>
          <w:rtl w:val="1"/>
        </w:rPr>
        <w:t xml:space="preserve">قال ابنُ أبي مُلَيكةَ: واللهِ ما قال ابنُ عمر رضي الله عنهما شيئًا.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علة المتن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 xml:space="preserve">الشرح: الدلالة: النواح على الميت بوصيته - من أسباب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