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2206 — الرقم الفرعي: 99 — الرقم الأصلي: 2206</w:t>
        <w:br/>
      </w:r>
      <w:r>
        <w:rPr>
          <w:rtl w:val="1"/>
        </w:rPr>
        <w:t xml:space="preserve"> حدثنا يونس و عفّان حدثنا حمّاد ملاحظة يعني ابن سلمة عن عليّ بن زيد قال: قال عفّان أخبرنا عليّ بن زيد عن يوسف بن مِهران عن ابن عباس</w:t>
        <w:br/>
      </w:r>
      <w:r>
        <w:rPr>
          <w:color w:val="000000"/>
          <w:rtl w:val="1"/>
        </w:rPr>
        <w:t xml:space="preserve">أنَّ رجُلًا أَتى عُمرَ، فقال: امرأةٌ جاءَتْ تُبايِعُه، </w:t>
      </w:r>
      <w:r>
        <w:rPr>
          <w:color w:val="FF0000"/>
          <w:rtl w:val="1"/>
        </w:rPr>
        <w:t xml:space="preserve">فأَدخلْتُها الدَّولَجَ، فأَصبْتُ مِنها ما دُونَ الجِماع، </w:t>
      </w:r>
      <w:r>
        <w:rPr>
          <w:color w:val="000000"/>
          <w:rtl w:val="1"/>
        </w:rPr>
        <w:t xml:space="preserve">فقال: وَيحكَ! لعلَّها مُغَيَّبٌ في سَبيلِ الله؟ قال: أَجَل، </w:t>
      </w:r>
      <w:r>
        <w:rPr>
          <w:color w:val="000000"/>
          <w:rtl w:val="1"/>
        </w:rPr>
        <w:t xml:space="preserve">قال: فائْتِ أَبا بكرٍ فاسْأَلْهُ. قال: فأَتاهُ فسَأَلَه فقال: لعلَّها مُغيَّبٌ في سَبيلِ الله؟ </w:t>
      </w:r>
      <w:r>
        <w:rPr>
          <w:color w:val="FF0000"/>
          <w:rtl w:val="1"/>
        </w:rPr>
        <w:t xml:space="preserve">قال: فقالَ مِثلَ قَولِ عُمر، ثم أَتى النبيَّ ﷺ، فقالَ له مِثلَ ذلك، </w:t>
      </w:r>
      <w:r>
        <w:rPr>
          <w:color w:val="FF0000"/>
          <w:rtl w:val="1"/>
        </w:rPr>
        <w:t xml:space="preserve">قال: «فلَعلَّها مُغيَّبٌ في سَبيلِ الله؟»، </w:t>
      </w:r>
      <w:r>
        <w:rPr>
          <w:color w:val="FF0000"/>
          <w:rtl w:val="1"/>
        </w:rPr>
        <w:t xml:space="preserve">ونزَلَ القُرآنُ: {وأقِمِ الصَّلاةَ طرَفَي النَّهارِ وزُلَفًا مِن اللَّيل إنَّ الحَسَناتِ يُذهِبْنَ السَّيئات} [هود: 114] إلى آخِرِ الآية، </w:t>
      </w:r>
      <w:r>
        <w:rPr>
          <w:color w:val="FF0000"/>
          <w:rtl w:val="1"/>
        </w:rPr>
        <w:t xml:space="preserve">فقالَ: يا رَسولَ الله، ألِي خاصّةً، أم للنَّاسِ عامَّة؟ </w:t>
      </w:r>
      <w:r>
        <w:rPr>
          <w:color w:val="FF0000"/>
          <w:rtl w:val="1"/>
        </w:rPr>
        <w:t xml:space="preserve">فضَرَبَ عُمرُ صَدْرَه بِيدِه، فقال: لا ولا نُعْمةَ عَينٍ، بل للنَّاسِ عامَّة، </w:t>
      </w:r>
      <w:r>
        <w:rPr>
          <w:color w:val="FF0000"/>
          <w:rtl w:val="1"/>
        </w:rPr>
        <w:t xml:space="preserve">فقالَ رسولُ اللهِ ﷺ: «صَدَقَ عُمر».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علاقة الحسنات والسيئات بالطاعات والمعاصي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