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رأى عليه كفارة إذا كان في معصية.-كتاب الإيمان والنذور-سنن أبي داود — رقم الحديث: 3296 — الرقم الفرعي: 99 — الرقم الأصلي: 3296</w:t>
        <w:br/>
      </w:r>
      <w:r>
        <w:rPr>
          <w:rtl w:val="1"/>
        </w:rPr>
        <w:t xml:space="preserve"> حدثنا محمد بن المثنى ثنا أبو الوليد ثنا همّام عن قتادة عن عكرمة عن ابن عباس</w:t>
        <w:br/>
      </w:r>
      <w:r>
        <w:rPr>
          <w:color w:val="000000"/>
          <w:rtl w:val="1"/>
        </w:rPr>
        <w:t xml:space="preserve">أنَّ أختَ عقبةَ بنِ عامرِ نذرَتْ أن تمشيَ إلى البيتِ،  </w:t>
      </w:r>
      <w:r>
        <w:rPr>
          <w:color w:val="FF0000"/>
          <w:rtl w:val="1"/>
        </w:rPr>
        <w:t xml:space="preserve">فأمرها النبيُّ ﷺ أن تركَبَ وتُهدِي هَدْيًا.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خامسًا: قيمة كفارة النذر - حادي عشر: الكفارات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