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من توضأ كما أمر-كتاب الطهارة-سنن النسائي — رقم الحديث: 145 — الرقم الفرعي: 99 — الرقم الأصلي: 145</w:t>
        <w:br/>
      </w:r>
      <w:r>
        <w:rPr>
          <w:rtl w:val="1"/>
        </w:rPr>
        <w:t xml:space="preserve"> أخبرنا محمد بن عبد الأعلى قال:حدثنا خالد عن شعبة عن جامع بن شدّاد قال:سمعت حُمران بن أبان أخبر أبا بُردة ملاحظة في المسجد أنه سمع عثمان يحدث عن رسول الله صلى الله عليه وسلم</w:t>
        <w:br/>
      </w:r>
      <w:r>
        <w:rPr>
          <w:color w:val="FF0000"/>
          <w:rtl w:val="1"/>
        </w:rPr>
        <w:t xml:space="preserve">يقول: «مَن أتمَّ الوُضوءَ كما أَمرَه اللهُ عزّ وجلّ،  </w:t>
      </w:r>
      <w:r>
        <w:rPr>
          <w:color w:val="FF0000"/>
          <w:rtl w:val="1"/>
        </w:rPr>
        <w:t xml:space="preserve">فالصَّلواتُ الخَمسُ كفَّاراتٌ لِمَا بينَهنَّ».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