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يقول إذا أصبح-كتاب الأدب-سنن أبي داود — رقم الحديث: 5070 — الرقم الفرعي: 99 — الرقم الأصلي: 5070</w:t>
        <w:br/>
      </w:r>
      <w:r>
        <w:rPr>
          <w:rtl w:val="1"/>
        </w:rPr>
        <w:t xml:space="preserve"> حدثنا أحمد بن يونس ثنا زهير ثنا الوليد بن ثعلبة الطائيّ عن ابن بُريدة عن أبيه عن النبيّ صلى الله عليه وسلم</w:t>
        <w:br/>
      </w:r>
      <w:r>
        <w:rPr>
          <w:color w:val="FF0000"/>
          <w:rtl w:val="1"/>
        </w:rPr>
        <w:t xml:space="preserve">قال: «مَن قال حينَ يُصبح أو حين يُمسي: اللَّهُمَّ أنتَ ربي لا إله إلا أنت، خلقْتَني وأنا عبدُك، وأنا على عَهْدِكَ ووعْدِكَ ما استطَعْتُ، أعوذ بك من شر ما صنعتُ، أبوءُ بنعمتِك، وأبوء بذَنْبِي، فاغفر لي، إنه لا يغفرُ الذنوبَ إلا أنتَ، فماتَ مِن يومِه أو مِن ليلتِه دخلَ الجنةَ». </w:t>
      </w:r>
    </w:p>
    <w:p>
      <w:pPr>
        <w:bidi w:val="1"/>
        <w:jc w:val="start"/>
      </w:pPr>
      <w:r>
        <w:rPr>
          <w:rtl w:val="1"/>
        </w:rPr>
        <w:t>درجة الحديث: صحيح / صحيح</w:t>
      </w:r>
    </w:p>
    <w:p>
      <w:pPr>
        <w:bidi w:val="1"/>
        <w:jc w:val="start"/>
      </w:pPr>
      <w:r>
        <w:rPr>
          <w:rtl w:val="1"/>
        </w:rPr>
        <w:t>الشرح: الدلالة: الذكر والدعاء في الصباح والمساء - الذكر والدعاء لأزمنة معينة</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التصور الإسلامي للإنسان - التصور الإسلامي</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بالدعاء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