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  <w:bidi w:val="1"/>
        <w:jc w:val="start"/>
      </w:pPr>
      <w:r>
        <w:rPr>
          <w:rtl w:val="1"/>
        </w:rPr>
        <w:t>مختارات من مكتبة الحديث</w:t>
      </w:r>
    </w:p>
    <w:p>
      <w:pPr>
        <w:bidi w:val="1"/>
        <w:jc w:val="start"/>
      </w:pPr>
      <w:r>
        <w:rPr>
          <w:rtl w:val="1"/>
        </w:rPr>
        <w:t>تقرير يضم 1 حديثًا من المحتوى المنشور. الشواهد المميزة مرتبطة بالدلالة المختارة أو بالتصنيفات المنشورة عند عدم اختيار دلالة. الأحكام من السجلات الأصلية.</w:t>
      </w:r>
    </w:p>
    <w:p>
      <w:pPr>
        <w:bidi w:val="1"/>
        <w:jc w:val="start"/>
      </w:pPr>
      <w:r>
        <w:rPr>
          <w:rtl w:val="1"/>
        </w:rPr>
        <w:fldChar w:fldCharType="begin"/>
        <w:instrText xml:space="preserve">TOC \o "1-9" \h \z \u</w:instrText>
        <w:fldChar w:fldCharType="end"/>
      </w:r>
    </w:p>
    <w:p>
      <w:pPr>
        <w:pStyle w:val="Heading1"/>
        <w:bidi w:val="1"/>
        <w:jc w:val="start"/>
      </w:pPr>
      <w:r>
        <w:rPr>
          <w:rtl w:val="1"/>
        </w:rPr>
        <w:t>الأحاديث المختارة</w:t>
      </w:r>
    </w:p>
    <w:p>
      <w:pPr>
        <w:bidi w:val="1"/>
        <w:jc w:val="start"/>
      </w:pPr>
      <w:r>
        <w:rPr>
          <w:b/>
          <w:rtl w:val="1"/>
        </w:rPr>
        <w:t>مسند أحمد — رقم الحديث: 7961 — الرقم الفرعي: 99 — الرقم الأصلي: 7961 — ج: 2 — ص: 297</w:t>
        <w:br/>
      </w:r>
      <w:r>
        <w:rPr>
          <w:rtl w:val="1"/>
        </w:rPr>
        <w:t xml:space="preserve"> حدثنا محمد بن جعفر حدثنا شعبة عن يعلى بن عطاء قال:سمعت عمرو بن عاصم يحدث أنه سمع أبا هريرة يحدث عن النبيّ صلى الله عليه وسلم</w:t>
        <w:br/>
      </w:r>
      <w:r>
        <w:rPr>
          <w:color w:val="000000"/>
          <w:rtl w:val="1"/>
        </w:rPr>
        <w:t xml:space="preserve">أَنَّ أَبَا بَكْرٍ، قَالَ لِلنَّبِيِّ ﷺ: أَخْبِرْنِي بِشَيْءٍ أَقُولُهُ إِذَا أَصْبَحْتُ وَإِذَا أَمْسَيْتُ.  </w:t>
      </w:r>
      <w:r>
        <w:rPr>
          <w:color w:val="000000"/>
          <w:rtl w:val="1"/>
        </w:rPr>
        <w:t xml:space="preserve">قَالَ: «قُلْ: اللهُمَّ عَالِمَ الْغَيْبِ وَالشَّهَادَةِ، فَاطِرَ السَّمَوَاتِ وَالْأَرْضِ، رَبَّ كُلِّ شَيْءٍ وَمَلِيكَهُ، أَشْهَدُ أَنْ لَا إِلَهَ إِلَّا أَنْتَ،  </w:t>
      </w:r>
      <w:r>
        <w:rPr>
          <w:color w:val="000000"/>
          <w:rtl w:val="1"/>
        </w:rPr>
        <w:t xml:space="preserve">أَعُوذُ بِكَ مِنْ شَرِّ نَفْسِي وَشَرِّ الشَّيْطَانِ وَشِرْكِهِ». قُلْهُ إِذَا أَصْبَحْتَ، وَإِذَا أَمْسَيْتَ، وَإِذَا أَخَذْتَ مَضْجَعَكَ </w:t>
      </w:r>
    </w:p>
    <w:p>
      <w:pPr>
        <w:bidi w:val="1"/>
        <w:jc w:val="start"/>
      </w:pPr>
      <w:r>
        <w:rPr>
          <w:rtl w:val="1"/>
        </w:rPr>
        <w:t>درجة الحديث: صحيح / صحيح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  <w:updateFields w:val="tru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  <w:rFonts w:cs="Arial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