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1707 — الرقم الفرعي: 99 — الرقم الأصلي: 1707 — ج: 1 — ص: 197</w:t>
        <w:br/>
      </w:r>
      <w:r>
        <w:rPr>
          <w:rtl w:val="1"/>
        </w:rPr>
        <w:t xml:space="preserve"> حدثنا يزيد أنبأنا صدقة بن موسى عن أبي عمران الجوني عن قيس بن زيد عن قاضي المِصرَين ملاحظة وهو شُريح ملاحظة والمِصرَان البصرة والكوفة عن عبد الرحمن بن أبي بكر قال:قال رسول الله صلى الله عليه وسلم</w:t>
        <w:br/>
      </w:r>
      <w:r>
        <w:rPr>
          <w:color w:val="FF0000"/>
          <w:rtl w:val="1"/>
        </w:rPr>
        <w:t xml:space="preserve">«إنَّ الله عزّ وجلّ لَيَدعُو بصاحب الدَّينِ يومَ القِيامة، فيُقيمُه بينَ يدَيه،  </w:t>
      </w:r>
      <w:r>
        <w:rPr>
          <w:color w:val="FF0000"/>
          <w:rtl w:val="1"/>
        </w:rPr>
        <w:t xml:space="preserve">فيقول: أيْ عبدي، فيمَ أَذهبتَ مالَ الناس؟ فيقول: أيْ ربِّ، قد علمتَ أَني لم أُفسِده، إنّما ذَهبَ في غَرَق أو حَرَق، أو سَرِقة، أو وَضِيعة،  </w:t>
      </w:r>
      <w:r>
        <w:rPr>
          <w:color w:val="FF0000"/>
          <w:rtl w:val="1"/>
        </w:rPr>
        <w:t xml:space="preserve">فيَدعُو اللهُ عزّ وجلّ بشيءٍ فيَضعُه في مِيزانِه، فتَرجَحُ حسَناتُه».  </w:t>
      </w:r>
    </w:p>
    <w:p>
      <w:pPr>
        <w:bidi w:val="1"/>
        <w:jc w:val="start"/>
      </w:pPr>
      <w:r>
        <w:rPr>
          <w:rtl w:val="1"/>
        </w:rPr>
        <w:t xml:space="preserve">درجة الحديث: إسناده ضعيف </w:t>
      </w:r>
    </w:p>
    <w:p>
      <w:pPr>
        <w:bidi w:val="1"/>
        <w:jc w:val="start"/>
      </w:pPr>
      <w:r>
        <w:rPr>
          <w:rtl w:val="1"/>
        </w:rPr>
        <w:t>الشرح: الدلالة: أداء القرض - انقضاء القرض</w:t>
      </w:r>
    </w:p>
    <w:p>
      <w:pPr>
        <w:bidi w:val="1"/>
        <w:jc w:val="start"/>
      </w:pPr>
      <w:r>
        <w:rPr>
          <w:rtl w:val="1"/>
        </w:rPr>
        <w:t>الشرح: الدلالة: وجوب إيفاء الدين عند القدرة - إيفاء الدَّين</w:t>
      </w:r>
    </w:p>
    <w:p>
      <w:pPr>
        <w:bidi w:val="1"/>
        <w:jc w:val="start"/>
      </w:pPr>
      <w:r>
        <w:rPr>
          <w:rtl w:val="1"/>
        </w:rPr>
        <w:t>الشرح: الدلالة: ما يملأ الميزان ويثقله - حادي عشر: الميزان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