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غزوة أُحد-كتاب الجهاد والسّيَر-صحيح مسلم — رقم الحديث: 1790 — الرقم الفرعي: 1 — الرقم الأصلي: 1790</w:t>
        <w:br/>
      </w:r>
      <w:r>
        <w:rPr>
          <w:rtl w:val="1"/>
        </w:rPr>
        <w:t xml:space="preserve"> حدثنا يحيى بن يحيى التميميّ حدثنا عبد العزيز بن أبي حازم عن أبيه</w:t>
        <w:br/>
      </w:r>
      <w:r>
        <w:rPr>
          <w:color w:val="000000"/>
          <w:rtl w:val="1"/>
        </w:rPr>
        <w:t xml:space="preserve">أنه سمع سهلَ بنَ سَعد، يُسأَلُ عن جُرحِ رسولِ اللهِ ﷺ يوم أحد،  </w:t>
      </w:r>
      <w:r>
        <w:rPr>
          <w:color w:val="FF0000"/>
          <w:rtl w:val="1"/>
        </w:rPr>
        <w:t xml:space="preserve">فقال: «جُرِحَ وَجهُ رسولِ اللهِ ﷺ، وكُسِرَت رَبَاعِيتُه، وهُشِمت البَيضةُ على رَأسِه،  </w:t>
      </w:r>
      <w:r>
        <w:rPr>
          <w:color w:val="FF0000"/>
          <w:rtl w:val="1"/>
        </w:rPr>
        <w:t xml:space="preserve">فكانت فاطمةُ بنتُ رسول الله ﷺ تَغسِلُ الدمَ،  </w:t>
      </w:r>
      <w:r>
        <w:rPr>
          <w:color w:val="FF0000"/>
          <w:rtl w:val="1"/>
        </w:rPr>
        <w:t xml:space="preserve">وكان عليُّ بنُ أَبي طالبٍ يَسكُبُ عَليها بالمِجَنِّ،  </w:t>
      </w:r>
      <w:r>
        <w:rPr>
          <w:color w:val="FF0000"/>
          <w:rtl w:val="1"/>
        </w:rPr>
        <w:t xml:space="preserve">فلما رأت فاطِمَةُ أَنَّ الماءَ لا يَزِيدُ الدَّمَ إلَّا كثرةً، أَخَذَت قِطعةَ حَصِيرٍ فأحرَقَتْه حتَّى صارَ رَمَادًا، ثُمَّ أَلصَقَته بالجُرحِ، فاستَمْسَك الدَّمُ».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الصبر على الدعوة إلى الله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