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يكون من فتوحات المسلمين قبل الدجال-كتاب الفتن وأشراط الساعة-صحيح مسلم — رقم الحديث: 2900 — الرقم الفرعي: 99 — الرقم الأصلي: 2900</w:t>
        <w:br/>
      </w:r>
      <w:r>
        <w:rPr>
          <w:rtl w:val="1"/>
        </w:rPr>
        <w:t xml:space="preserve"> حدثنا قتيبة بن سعيد حدثنا جرير عن عبد الملك بن عُمَير عن جابر بن سَمُرة عن نافع بن عتبة</w:t>
        <w:br/>
      </w:r>
      <w:r>
        <w:rPr>
          <w:color w:val="000000"/>
          <w:rtl w:val="1"/>
        </w:rPr>
        <w:t xml:space="preserve">قال: كنَّا مع رسولِ الله ﷺ في غَزوة،  </w:t>
      </w:r>
      <w:r>
        <w:rPr>
          <w:color w:val="FF0000"/>
          <w:rtl w:val="1"/>
        </w:rPr>
        <w:t xml:space="preserve">قال: فأَتى النّبيَّ ﷺ قومٌ من قِبَل المَغرب، عليهم ثِيابُ الصُّوف، فوافقُوه عندَ أَكَمَة، فإنَّهم لَقِيامٌ، ورسولُ الله ﷺ قاعد،  </w:t>
      </w:r>
      <w:r>
        <w:rPr>
          <w:color w:val="000000"/>
          <w:rtl w:val="1"/>
        </w:rPr>
        <w:t xml:space="preserve">قال: فقالت لي نفْسِي: ائتِهم فقُم بينَهم وبَينَه، لا يَغتالونَه، قال: ثم قلتُ: لعلَّه نَجِيٌّ معَهم، فأَتيتُهم، فقُمتُ بينَهم وبينَه،  </w:t>
      </w:r>
      <w:r>
        <w:rPr>
          <w:color w:val="000000"/>
          <w:rtl w:val="1"/>
        </w:rPr>
        <w:t xml:space="preserve">قال: فحفِظتُ منه أَربعَ كلِمات، أَعدُّهنَّ في يَدِي،  </w:t>
      </w:r>
      <w:r>
        <w:rPr>
          <w:color w:val="FF0000"/>
          <w:rtl w:val="1"/>
        </w:rPr>
        <w:t xml:space="preserve">قال: «تَغزُونَ جزيرةَ العَرب، فيَفتحُها اللهُ، ثم فارسَ، فيَفتحُها اللهُ، ثم تَغزونَ الرُّومَ، فيَفتحُها الله، ثم تَغزونَ الدَّجّالَ، فيَفتحُه الله».  </w:t>
      </w:r>
      <w:r>
        <w:rPr>
          <w:color w:val="FF0000"/>
          <w:rtl w:val="1"/>
        </w:rPr>
        <w:t xml:space="preserve">قال: فقال نافع: يا جابر، لا نَرى الدَّجّال يَخرُجُ حتى تُفتَحَ الرُّوم. </w:t>
      </w:r>
    </w:p>
    <w:p>
      <w:pPr>
        <w:bidi w:val="1"/>
        <w:jc w:val="start"/>
      </w:pPr>
      <w:r>
        <w:rPr>
          <w:rtl w:val="1"/>
        </w:rPr>
        <w:t>الشرح: الدلالة: أخبار الملاحم - التاريخ</w:t>
      </w:r>
    </w:p>
    <w:p>
      <w:pPr>
        <w:bidi w:val="1"/>
        <w:jc w:val="start"/>
      </w:pPr>
      <w:r>
        <w:rPr>
          <w:rtl w:val="1"/>
        </w:rPr>
        <w:t>الشرح: الدلالة: الصوف والشعر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p>
      <w:pPr>
        <w:bidi w:val="1"/>
        <w:jc w:val="start"/>
      </w:pPr>
      <w:r>
        <w:rPr>
          <w:rtl w:val="1"/>
        </w:rPr>
        <w:t>الشرح: الدلالة: حماية رئيس الدولة وحراسته - حقوق رئيس الدولة</w:t>
      </w:r>
    </w:p>
    <w:p>
      <w:pPr>
        <w:bidi w:val="1"/>
        <w:jc w:val="start"/>
      </w:pPr>
      <w:r>
        <w:rPr>
          <w:rtl w:val="1"/>
        </w:rPr>
        <w:t>الشرح: الدلالة: المبحث الخامس: قتال المسلمين للأمم الأخرى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المبحث الرابع: الملحمة العظمى وفتح القسطنطينية ورومية - الفتن وأشراط الساعة بين يدي العلامات الكبرى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p>
      <w:pPr>
        <w:bidi w:val="1"/>
        <w:jc w:val="start"/>
      </w:pPr>
      <w:r>
        <w:rPr>
          <w:rtl w:val="1"/>
        </w:rPr>
        <w:t>الشرح: الدلالة: الفصل الثاني: بشائر انتصار الإسلام وتمكينه في الأرض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