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كيف الأذان-كتاب الصلاة-سنن أبي داود — رقم الحديث: 499 — الرقم الفرعي: 99 — الرقم الأصلي: 499</w:t>
        <w:br/>
      </w:r>
      <w:r>
        <w:rPr>
          <w:rtl w:val="1"/>
        </w:rPr>
        <w:t xml:space="preserve"> حدثنا محمد بن منصور الطوسيّ ثنا يعقوب ثنا أبي عن محمد بن إسحاق حدثني محمد بن إبراهيم بن الحرث التيميّ عن محمد بن عبد الله بن زيد بن عبد ربه قال:حدثني أبي عبد الله بن زيد</w:t>
        <w:br/>
      </w:r>
      <w:r>
        <w:rPr>
          <w:color w:val="FF0000"/>
          <w:rtl w:val="1"/>
        </w:rPr>
        <w:t xml:space="preserve">قال: لمَّا أمرَ رسولُ الله ﷺ بالنَّاقُوسِ يُعمَلُ لِيُضرَبَ به للنّاسِ لِجَمعِ الصَّلاةِ،  </w:t>
      </w:r>
      <w:r>
        <w:rPr>
          <w:color w:val="FF0000"/>
          <w:rtl w:val="1"/>
        </w:rPr>
        <w:t xml:space="preserve">طافَ بي وأنا نائمٌ رجلٌ يَحمِلُ ناقوسًا في يَدِه، فقلت: يا عبدَ الله، أتبيعُ النَّاقوسَ؟  </w:t>
      </w:r>
      <w:r>
        <w:rPr>
          <w:color w:val="FF0000"/>
          <w:rtl w:val="1"/>
        </w:rPr>
        <w:t xml:space="preserve">قال: وما تَصنعُ به؟ فقلتُ: نَدعو به إلى الصَّلاةِ،  </w:t>
      </w:r>
      <w:r>
        <w:rPr>
          <w:color w:val="FF0000"/>
          <w:rtl w:val="1"/>
        </w:rPr>
        <w:t xml:space="preserve">قال: أفلا أدلُّكَ على ما هو خيرٌ من ذلك؟ فقلتُ: بلى،  </w:t>
      </w:r>
      <w:r>
        <w:rPr>
          <w:color w:val="FF0000"/>
          <w:rtl w:val="1"/>
        </w:rPr>
        <w:t xml:space="preserve">قال: فقال: تقول: اللهُ أكبَرُ، الله أكبَرُ، الله أكبَرُ، الله أكبَرُ،  </w:t>
      </w:r>
      <w:r>
        <w:rPr>
          <w:color w:val="FF0000"/>
          <w:rtl w:val="1"/>
        </w:rPr>
        <w:t xml:space="preserve">أَشهدُ أن لا إلهَ إلّا الله، أشهدُ أن لا إلهَ إلّا الله،  </w:t>
      </w:r>
      <w:r>
        <w:rPr>
          <w:color w:val="FF0000"/>
          <w:rtl w:val="1"/>
        </w:rPr>
        <w:t xml:space="preserve">أَشهدُ أنّ محمّدًا رسولُ الله، أَشهدُ أنّ محمّدًا رسولُ الله،  </w:t>
      </w:r>
      <w:r>
        <w:rPr>
          <w:color w:val="FF0000"/>
          <w:rtl w:val="1"/>
        </w:rPr>
        <w:t xml:space="preserve">حَيَّ على الصّلاة، حَيَّ على الصّلاة،  </w:t>
      </w:r>
      <w:r>
        <w:rPr>
          <w:color w:val="FF0000"/>
          <w:rtl w:val="1"/>
        </w:rPr>
        <w:t xml:space="preserve">حَيَّ على الفلاح، حَيَّ على الفلاح،  </w:t>
      </w:r>
      <w:r>
        <w:rPr>
          <w:color w:val="FF0000"/>
          <w:rtl w:val="1"/>
        </w:rPr>
        <w:t xml:space="preserve">الله أكبَرُ، الله أكبَرُ،  </w:t>
      </w:r>
      <w:r>
        <w:rPr>
          <w:color w:val="FF0000"/>
          <w:rtl w:val="1"/>
        </w:rPr>
        <w:t xml:space="preserve">لا إله إلا الله. </w:t>
      </w:r>
      <w:r>
        <w:rPr>
          <w:color w:val="000000"/>
          <w:rtl w:val="1"/>
        </w:rPr>
        <w:t xml:space="preserve">قال: ثمَّ استأخَرَ عنِّي غيرَ بعيدٍ، ثمَّ قال:  </w:t>
      </w:r>
      <w:r>
        <w:rPr>
          <w:color w:val="000000"/>
          <w:rtl w:val="1"/>
        </w:rPr>
        <w:t xml:space="preserve">وتقولُ إذا أقمتَ الصَّلاةَ:  </w:t>
      </w:r>
      <w:r>
        <w:rPr>
          <w:color w:val="FF0000"/>
          <w:rtl w:val="1"/>
        </w:rPr>
        <w:t xml:space="preserve">الله أكبَرُ، الله أكبَرُ،  </w:t>
      </w:r>
      <w:r>
        <w:rPr>
          <w:color w:val="FF0000"/>
          <w:rtl w:val="1"/>
        </w:rPr>
        <w:t xml:space="preserve">أَشهدُ أن لا إلهَ إلّا الله،  </w:t>
      </w:r>
      <w:r>
        <w:rPr>
          <w:color w:val="FF0000"/>
          <w:rtl w:val="1"/>
        </w:rPr>
        <w:t xml:space="preserve">أشهدُ أنَّ محمّدًا رسولُ الله،  </w:t>
      </w:r>
      <w:r>
        <w:rPr>
          <w:color w:val="FF0000"/>
          <w:rtl w:val="1"/>
        </w:rPr>
        <w:t xml:space="preserve">حَيَّ على الصَّلاة،  </w:t>
      </w:r>
      <w:r>
        <w:rPr>
          <w:color w:val="FF0000"/>
          <w:rtl w:val="1"/>
        </w:rPr>
        <w:t xml:space="preserve">حَيَّ على الفلاح،  </w:t>
      </w:r>
      <w:r>
        <w:rPr>
          <w:color w:val="FF0000"/>
          <w:rtl w:val="1"/>
        </w:rPr>
        <w:t xml:space="preserve">قد قامتِ الصَّلاةُ، قد قامتِ الصلاةُ،  </w:t>
      </w:r>
      <w:r>
        <w:rPr>
          <w:color w:val="000000"/>
          <w:rtl w:val="1"/>
        </w:rPr>
        <w:t xml:space="preserve">الله أكبَرُ، الله أكبَرُ،  </w:t>
      </w:r>
      <w:r>
        <w:rPr>
          <w:color w:val="FF0000"/>
          <w:rtl w:val="1"/>
        </w:rPr>
        <w:t xml:space="preserve">لا إلهَ إلّا الله.  </w:t>
      </w:r>
      <w:r>
        <w:rPr>
          <w:color w:val="FF0000"/>
          <w:rtl w:val="1"/>
        </w:rPr>
        <w:t xml:space="preserve">فلمّا أَصبَحتُ أَتيتُ رسولَ الله ﷺ فأخبَرتُه بما رأيتُ،  </w:t>
      </w:r>
      <w:r>
        <w:rPr>
          <w:color w:val="FF0000"/>
          <w:rtl w:val="1"/>
        </w:rPr>
        <w:t xml:space="preserve">فقال: «إنَّها لَرؤيا حَقٍّ إن شاء الله، فقُم مع بلالٍ فألْقِ عليه ما رأيتَ فليؤَذِّنْ به،  </w:t>
      </w:r>
      <w:r>
        <w:rPr>
          <w:color w:val="FF0000"/>
          <w:rtl w:val="1"/>
        </w:rPr>
        <w:t xml:space="preserve">فإنّه أَندَى صوتًا منك»  </w:t>
      </w:r>
      <w:r>
        <w:rPr>
          <w:color w:val="FF0000"/>
          <w:rtl w:val="1"/>
        </w:rPr>
        <w:t xml:space="preserve">فقُمتُ مع بلالٍ، فجعلتُ أُلقِيهِ عليه ويُؤَذنُ به،  </w:t>
      </w:r>
      <w:r>
        <w:rPr>
          <w:color w:val="FF0000"/>
          <w:rtl w:val="1"/>
        </w:rPr>
        <w:t xml:space="preserve">قال: فسَمِعَ ذلك عمرُ بنُ الخطَّاب وهو في بَيتِه، فخرجَ يَجُرَّ رِداءَه،  </w:t>
      </w:r>
      <w:r>
        <w:rPr>
          <w:color w:val="FF0000"/>
          <w:rtl w:val="1"/>
        </w:rPr>
        <w:t xml:space="preserve">ويقول: والذي بَعثَكَ بالحقِّ يا رسولَ الله، لقد رأيتُ مثلَ ما أُرِيَ،  </w:t>
      </w:r>
      <w:r>
        <w:rPr>
          <w:color w:val="FF0000"/>
          <w:rtl w:val="1"/>
        </w:rPr>
        <w:t xml:space="preserve">فقالَ رسولُ الله ﷺ: «فللّهِ الحمدُ». </w:t>
      </w:r>
      <w:r>
        <w:rPr>
          <w:color w:val="000000"/>
          <w:rtl w:val="1"/>
        </w:rPr>
        <w:t xml:space="preserve">قال أبو داود: هكذا روايةُ الزُّهريِّ عن سعيد بن المُسيّب عن عبد الله بن زيد،  </w:t>
      </w:r>
      <w:r>
        <w:rPr>
          <w:color w:val="000000"/>
          <w:rtl w:val="1"/>
        </w:rPr>
        <w:t xml:space="preserve">وقال فيه ابنُ إسحاق عن الزُّهريّ: الله أكبَرُ، الله أكبَرُ، الله أكبَرُ، الله أكبَرُ.  </w:t>
      </w:r>
      <w:r>
        <w:rPr>
          <w:color w:val="000000"/>
          <w:rtl w:val="1"/>
        </w:rPr>
        <w:t xml:space="preserve">وقال مَعمَر ويونُسُ عن الزُّهريّ فيه: الله أكبَرُ، الله أكبَرُ، لم يُثَنِّ. </w:t>
      </w:r>
    </w:p>
    <w:p>
      <w:pPr>
        <w:bidi w:val="1"/>
        <w:jc w:val="start"/>
      </w:pPr>
      <w:r>
        <w:rPr>
          <w:rtl w:val="1"/>
        </w:rPr>
        <w:t>درجة الحديث: إسناده حسن</w:t>
      </w:r>
    </w:p>
    <w:p>
      <w:pPr>
        <w:bidi w:val="1"/>
        <w:jc w:val="start"/>
      </w:pPr>
      <w:r>
        <w:rPr>
          <w:rtl w:val="1"/>
        </w:rPr>
        <w:t>الشرح: الدلالة: تاريخ الخلفاء الراشدين ومناقبهم</w:t>
      </w:r>
    </w:p>
    <w:p>
      <w:pPr>
        <w:bidi w:val="1"/>
        <w:jc w:val="start"/>
      </w:pPr>
      <w:r>
        <w:rPr>
          <w:rtl w:val="1"/>
        </w:rPr>
        <w:t>الشرح: الدلالة: المسجد - مؤسسات التربية والتعليم</w:t>
      </w:r>
    </w:p>
    <w:p>
      <w:pPr>
        <w:bidi w:val="1"/>
        <w:jc w:val="start"/>
      </w:pPr>
      <w:r>
        <w:rPr>
          <w:rtl w:val="1"/>
        </w:rPr>
        <w:t>الشرح: الدلالة: وسائل الإعلام (الخطباء والقراء والشعراء والقصاصون ...) - مؤسسات التربية والتعليم</w:t>
      </w:r>
    </w:p>
    <w:p>
      <w:pPr>
        <w:bidi w:val="1"/>
        <w:jc w:val="start"/>
      </w:pPr>
      <w:r>
        <w:rPr>
          <w:rtl w:val="1"/>
        </w:rPr>
        <w:t>الشرح: الدلالة: تاريخ عمر بن الخطاب وخلافته ومناقبه - تاريخ الخلفاء الراشدين ومناقبهم</w:t>
      </w:r>
    </w:p>
    <w:p>
      <w:pPr>
        <w:bidi w:val="1"/>
        <w:jc w:val="start"/>
      </w:pPr>
      <w:r>
        <w:rPr>
          <w:rtl w:val="1"/>
        </w:rPr>
        <w:t>الشرح: الدلالة: الإزار والرداء - أسماء الملابس</w:t>
      </w:r>
    </w:p>
    <w:p>
      <w:pPr>
        <w:bidi w:val="1"/>
        <w:jc w:val="start"/>
      </w:pPr>
      <w:r>
        <w:rPr>
          <w:rtl w:val="1"/>
        </w:rPr>
        <w:t>الشرح: الدلالة: السدل (طول اللباس ) - هيئات اللباس</w:t>
      </w:r>
    </w:p>
    <w:p>
      <w:pPr>
        <w:bidi w:val="1"/>
        <w:jc w:val="start"/>
      </w:pPr>
      <w:r>
        <w:rPr>
          <w:rtl w:val="1"/>
        </w:rPr>
        <w:t>الشرح: الدلالة: رؤيا العبادات والطاعات وأماكنها - تعبير الرؤيا وتفسيرها</w:t>
      </w:r>
    </w:p>
    <w:p>
      <w:pPr>
        <w:bidi w:val="1"/>
        <w:jc w:val="start"/>
      </w:pPr>
      <w:r>
        <w:rPr>
          <w:rtl w:val="1"/>
        </w:rPr>
        <w:t>الشرح: الدلالة: الوسطية - المباديء</w:t>
      </w:r>
    </w:p>
    <w:p>
      <w:pPr>
        <w:bidi w:val="1"/>
        <w:jc w:val="start"/>
      </w:pPr>
      <w:r>
        <w:rPr>
          <w:rtl w:val="1"/>
        </w:rPr>
        <w:t>الشرح: الدلالة: التميز - المباديء</w:t>
      </w:r>
    </w:p>
    <w:p>
      <w:pPr>
        <w:bidi w:val="1"/>
        <w:jc w:val="start"/>
      </w:pPr>
      <w:r>
        <w:rPr>
          <w:rtl w:val="1"/>
        </w:rPr>
        <w:t>الشرح: الدلالة: الحداء والشعر</w:t>
      </w:r>
    </w:p>
    <w:p>
      <w:pPr>
        <w:bidi w:val="1"/>
        <w:jc w:val="start"/>
      </w:pPr>
      <w:r>
        <w:rPr>
          <w:rtl w:val="1"/>
        </w:rPr>
        <w:t>الشرح: الدلالة: تكرار الرؤيا والاتفاق فيها - متفرقات في الرؤيا</w:t>
      </w:r>
    </w:p>
    <w:p>
      <w:pPr>
        <w:bidi w:val="1"/>
        <w:jc w:val="start"/>
      </w:pPr>
      <w:r>
        <w:rPr>
          <w:rtl w:val="1"/>
        </w:rPr>
        <w:t>الشرح: الدلالة: تفسير الرؤيا - متفرقات في الرؤيا</w:t>
      </w:r>
    </w:p>
    <w:p>
      <w:pPr>
        <w:bidi w:val="1"/>
        <w:jc w:val="start"/>
      </w:pPr>
      <w:r>
        <w:rPr>
          <w:rtl w:val="1"/>
        </w:rPr>
        <w:t>الشرح: الدلالة: ابتداء تشريع الأذان - مشروعية الأذان وفضله</w:t>
      </w:r>
    </w:p>
    <w:p>
      <w:pPr>
        <w:bidi w:val="1"/>
        <w:jc w:val="start"/>
      </w:pPr>
      <w:r>
        <w:rPr>
          <w:rtl w:val="1"/>
        </w:rPr>
        <w:t>الشرح: الدلالة: كلمات الأذان وأذكاره - ألفاظ الأذان</w:t>
      </w:r>
    </w:p>
    <w:p>
      <w:pPr>
        <w:bidi w:val="1"/>
        <w:jc w:val="start"/>
      </w:pPr>
      <w:r>
        <w:rPr>
          <w:rtl w:val="1"/>
        </w:rPr>
        <w:t>الشرح: الدلالة: تثنية الأذان - كيفية الأذان</w:t>
      </w:r>
    </w:p>
    <w:p>
      <w:pPr>
        <w:bidi w:val="1"/>
        <w:jc w:val="start"/>
      </w:pPr>
      <w:r>
        <w:rPr>
          <w:rtl w:val="1"/>
        </w:rPr>
        <w:t>الشرح: الدلالة: صوت المؤذن - أحكام المؤذن</w:t>
      </w:r>
    </w:p>
    <w:p>
      <w:pPr>
        <w:bidi w:val="1"/>
        <w:jc w:val="start"/>
      </w:pPr>
      <w:r>
        <w:rPr>
          <w:rtl w:val="1"/>
        </w:rPr>
        <w:t>الشرح: الدلالة: كلمات الإقامة(ألفاظها) - إقامة الصلاة</w:t>
      </w:r>
    </w:p>
    <w:p>
      <w:pPr>
        <w:bidi w:val="1"/>
        <w:jc w:val="start"/>
      </w:pPr>
      <w:r>
        <w:rPr>
          <w:rtl w:val="1"/>
        </w:rPr>
        <w:t>الشرح: الدلالة: مراعاة الفروق الفردية</w:t>
      </w:r>
    </w:p>
    <w:p>
      <w:pPr>
        <w:bidi w:val="1"/>
        <w:jc w:val="start"/>
      </w:pPr>
      <w:r>
        <w:rPr>
          <w:rtl w:val="1"/>
        </w:rPr>
        <w:t>الشرح: الدلالة: التربية بالتلقين - الأساليب التربوية والتهذيبية</w:t>
      </w:r>
    </w:p>
    <w:p>
      <w:pPr>
        <w:bidi w:val="1"/>
        <w:jc w:val="start"/>
      </w:pPr>
      <w:r>
        <w:rPr>
          <w:rtl w:val="1"/>
        </w:rPr>
        <w:t>الشرح: الدلالة: التعليم بالعمل والممارسة - الأساليب التعليمية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التعليم بالقصة والمثل - الأساليب التعليمية</w:t>
      </w:r>
    </w:p>
    <w:p>
      <w:pPr>
        <w:bidi w:val="1"/>
        <w:jc w:val="start"/>
      </w:pPr>
      <w:r>
        <w:rPr>
          <w:rtl w:val="1"/>
        </w:rPr>
        <w:t>الشرح: الدلالة: التكرار - الأساليب التعليمية</w:t>
      </w:r>
    </w:p>
    <w:p>
      <w:pPr>
        <w:bidi w:val="1"/>
        <w:jc w:val="start"/>
      </w:pPr>
      <w:r>
        <w:rPr>
          <w:rtl w:val="1"/>
        </w:rPr>
        <w:t>الشرح: الدلالة: بدء الأذان - أحداث السنة الأولى</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