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95 — الرقم الفرعي: 99 — الرقم الأصلي: 95 — ج: 1 — ص: 16</w:t>
        <w:br/>
      </w:r>
      <w:r>
        <w:rPr>
          <w:rtl w:val="1"/>
        </w:rPr>
        <w:t xml:space="preserve"> حدثنا يعقوب حدثنا أبي عن ابن إسحاق حدثني الزهريّ عن عبيدالله بن عبد الله بن عتبة بن مسعود عن عبد الله بن عباس قال:سمعت عمر بن الخطاب</w:t>
        <w:br/>
      </w:r>
      <w:r>
        <w:rPr>
          <w:color w:val="000000"/>
          <w:rtl w:val="1"/>
        </w:rPr>
        <w:t xml:space="preserve">يَقُولُ: لَمَّا توُفِّيَ عَبدُ اللهِ بْنُ أُبيٍّ، دُعِيَ رَسُولُ اللهِ ﷺ لِلصَّلاةِ عَليْهِ، فَقَامَ إِلَيْهِ، فَلَمَّا وَقَفَ عَلَيْهِ يُرِيدُ الصَّلاةَ تَحَوَّلْتُ حَتَّى قُمْتُ في صَدْرهِ،  </w:t>
      </w:r>
      <w:r>
        <w:rPr>
          <w:color w:val="000000"/>
          <w:rtl w:val="1"/>
        </w:rPr>
        <w:t xml:space="preserve">فَقُلْتُ: يَا رَسُولَ اللهِ أَعَلَى عَدُوِّ اللهِ عَبْدِ اللهِ بْنِ أُبَيٍّ الْقَائِلِ يَوْمَ كَذَا وَكَذَا -يُعَدِّدُ أيّامَهُ- قَالَ: وَرَسُولُ اللهِ ﷺ يَتبَسَّمُ، حَتَّى إذَا أَكثَرْتُ عَلَيْهِ، قَالَ: «أَخِّرْ عَنِّي يَا عُمَرُ، إِنِّي خُيِّرْتُ فَاخْتَرْتُ،  </w:t>
      </w:r>
      <w:r>
        <w:rPr>
          <w:color w:val="000000"/>
          <w:rtl w:val="1"/>
        </w:rPr>
        <w:t xml:space="preserve">قَدْ قِيلَ: ﴿اسْتَغْفِرْ لَهُمْ أَوْ لَا تَسْتَغْفِرْ لَهُمْ إِنْ تَسْتَغْفِرْ لَهُمْ سَبْعِينَ مَرَّةً فَلَنْ يَغْفِرَ اللَّهُ لَهُمْ ﴾ [التوبة: 80]، لَوْ أَعْلَمُ أَني إِنْ زِدْتُ عَلَى السَّبْعِينَ غُفِرَ لَهُ لَزِدْتُ» </w:t>
      </w:r>
      <w:r>
        <w:rPr>
          <w:color w:val="000000"/>
          <w:rtl w:val="1"/>
        </w:rPr>
        <w:t xml:space="preserve">قَالَ: ثُمَّ صَلَّى عَلَيْهِ، وَمَشَى مَعَهُ، فَقامَ عَلَى قَبْرِهِ حَتَّى فُرِغَ مِنْهُ. </w:t>
      </w:r>
      <w:r>
        <w:rPr>
          <w:color w:val="000000"/>
          <w:rtl w:val="1"/>
        </w:rPr>
        <w:t xml:space="preserve">قَالَ: فَعَجَبٌ لِي وَجَراءَتِي عَلَى رَسُولِ اللهِ ﷺ، وَاللهُ وَرَسُولهُ أَعْلَمُ.  </w:t>
      </w:r>
      <w:r>
        <w:rPr>
          <w:color w:val="000000"/>
          <w:rtl w:val="1"/>
        </w:rPr>
        <w:t xml:space="preserve">قَالَ: فَوَاللهِ مَا كَانَ إِلَّا يَسِيرًا حَتَّى نَزَلَتْ هَاتَانِ الْآيَتَانِ: ﴿وَلَا تُصَلِّ عَلَى أَحَدٍ مِنْهُمْ مَاتَ أَبَدًا وَلَا تَقُمْ عَلَى قَبْرِهِ إِنَّهُمْ كَفَرُوا بِاللَّهِ وَرَسُولِهِ وَمَاتُوا وَهُمْ فَاسِقُونَ﴾ [التوبة: 84] </w:t>
      </w:r>
      <w:r>
        <w:rPr>
          <w:color w:val="000000"/>
          <w:rtl w:val="1"/>
        </w:rPr>
        <w:t xml:space="preserve">فَمَا صَلَّى رَسُولُ اللهِ ﷺ بَعْدَهُ عَلَى مُنَافِقٍ، وَلا قَامَ عَلَى قَبْرِهِ حَتَّى قَبَضَهُ اللهُ عَزَّ وَجَلَّ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