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5193 — الرقم الفرعي: 99 — الرقم الأصلي: 5193</w:t>
        <w:br/>
      </w:r>
      <w:r>
        <w:rPr>
          <w:rtl w:val="1"/>
        </w:rPr>
        <w:t xml:space="preserve"> حدثنا محمد بن عبدوس بن كامل، قال: حدثنا حيان بن بشر القاضي، قال: حدثنا محمد بن سلمة، عن محمد بن إسحاق، عن محمد بن يحيى بن حَبَّان، عن عمه واسع بن حَبان، عن جابر بن عبد الله، قال: قال رسول الله ﷺ:</w:t>
        <w:br/>
      </w:r>
      <w:r>
        <w:rPr>
          <w:color w:val="FF0000"/>
          <w:rtl w:val="1"/>
        </w:rPr>
        <w:t xml:space="preserve">«لا ضَررَ ولا ضِرَارَ في الإسلام».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لا ضرر ولا ضرار - الضرر يزال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