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الرجل يعيد سورة واحدة في الركعتين-كتاب الصلاة-سنن أبي داود — رقم الحديث: 816 — الرقم الفرعي: 99 — الرقم الأصلي: 816</w:t>
        <w:br/>
      </w:r>
      <w:r>
        <w:rPr>
          <w:rtl w:val="1"/>
        </w:rPr>
        <w:t xml:space="preserve"> حدثنا أحمد بن صالح ثنا ابن وهب أخبرني عمرو عن ابن أبي هلال عن معاذ بن عبد الله الجهنيّ</w:t>
        <w:br/>
      </w:r>
      <w:r>
        <w:rPr>
          <w:color w:val="FF0000"/>
          <w:rtl w:val="1"/>
        </w:rPr>
        <w:t xml:space="preserve">أنَّ رجلاً من جُهَينةَ أخبرَه، أنّه سمِعَ النبيَّ أنَّ النّبيَّ ﷺ </w:t>
      </w:r>
      <w:r>
        <w:rPr>
          <w:color w:val="FF0000"/>
          <w:rtl w:val="1"/>
        </w:rPr>
        <w:t xml:space="preserve">يقرأُ في الصُّبحِ {إِذَا زُلْزِلَتِ الْأَرْضُ زِلْزَالَهَا} [الزلزلة: 1]، في الرّكعتَينِ كِلتَيهِما، </w:t>
      </w:r>
      <w:r>
        <w:rPr>
          <w:color w:val="FF0000"/>
          <w:rtl w:val="1"/>
        </w:rPr>
        <w:t xml:space="preserve">فلا أَدرِي أَنسِيَ رَسولُ الله أنَّ النّبيَّ ﷺ أم قرَأَ ذلك عَمْدًا.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تسمية صلاة الفجر بصلاة الصبح أو الغداة - صلاة الفجر</w:t>
      </w:r>
    </w:p>
    <w:p>
      <w:pPr>
        <w:bidi w:val="1"/>
        <w:jc w:val="start"/>
      </w:pPr>
      <w:r>
        <w:rPr>
          <w:rtl w:val="1"/>
        </w:rPr>
        <w:t>الشرح: الدلالة: قراءة غير الفاتحة ومقدار ذلك - القراءة في الصلاة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مما يقرأ في صلاة الفجر - القراءة في صلاة الفجر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