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حكم إطلاق لفطة العبد والأمة والمولى والسيد-كتاب الألفاظ من الأدب وغيرها-صحيح مسلم — رقم الحديث: 2249 — الرقم الفرعي: 1 — الرقم الأصلي: 2249</w:t>
        <w:br/>
      </w:r>
      <w:r>
        <w:rPr>
          <w:rtl w:val="1"/>
        </w:rPr>
        <w:t xml:space="preserve"> حدثنا يحيى بن أيوب و قُتيبة و ابن حُجْر قالوا:حدثنا إسماعيل ملاحظة وهو ابن جعفر عن العلاء عن أبيه عن أبي هريرة أنّ رسول الله صلى الله عليه وسلم</w:t>
        <w:br/>
      </w:r>
      <w:r>
        <w:rPr>
          <w:color w:val="FF0000"/>
          <w:rtl w:val="1"/>
        </w:rPr>
        <w:t xml:space="preserve">قال: «لا يَقُولَن أَحدُكُم عَبدِي وأمتي.  </w:t>
      </w:r>
      <w:r>
        <w:rPr>
          <w:color w:val="FF0000"/>
          <w:rtl w:val="1"/>
        </w:rPr>
        <w:t xml:space="preserve">كُلُّكُمْ عَبِيدُ اللَّهِ.  </w:t>
      </w:r>
      <w:r>
        <w:rPr>
          <w:color w:val="FF0000"/>
          <w:rtl w:val="1"/>
        </w:rPr>
        <w:t xml:space="preserve">وَكُلُّ نِسَائِكُمْ إِمَاءُ اللَّهِ. </w:t>
      </w:r>
      <w:r>
        <w:rPr>
          <w:color w:val="FF0000"/>
          <w:rtl w:val="1"/>
        </w:rPr>
        <w:t xml:space="preserve"> ولكن ليقل: غلامي وجاريتي وفَتَاي وفَتَاتي». </w:t>
      </w:r>
      <w:r>
        <w:rPr>
          <w:color w:val="000000"/>
          <w:rtl w:val="1"/>
        </w:rPr>
        <w:t xml:space="preserve">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طاعة الله وحده وذكره وحده - مظاهر توحيد الألوهية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