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142 — الرقم الفرعي: 99 — الرقم الأصلي: 142</w:t>
        <w:br/>
      </w:r>
      <w:r>
        <w:rPr>
          <w:rtl w:val="1"/>
        </w:rPr>
        <w:t xml:space="preserve"> حدثنا حسن بن موسى حدثنا ابن لَهيعة قال:حدثنا يزيد بن أبي حَبِيب عن مَعمَر</w:t>
        <w:br/>
      </w:r>
      <w:r>
        <w:rPr>
          <w:color w:val="000000"/>
          <w:rtl w:val="1"/>
        </w:rPr>
        <w:t xml:space="preserve">أَنهُ سَألَ سَعِيدَ بْنَ المُسَيِّبِ عَنِ الصِّيَامِ فِي السَّفَرِ، فَحَدَّثَهُ عَنْ عُمَرَ بْنِ الخَطَّابِ أنهُ قَالَ: غَزَوْنَا مَعَ رَسُولِ اللهِ ﷺ غَزوَتَينِ فِي شَهْرِ رَمَضَانَ: يَوْمَ بَدْرٍ، وَيَوْمَ الْفَتْحِ، فَأَفْطَرْنَا فِيهِمَا.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