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كيفية الخلق الآدميّ،في بطن أمه-كتاب القدر-صحيح مسلم — رقم الحديث: 2644 — الرقم الفرعي: 99 — الرقم الأصلي: 2644</w:t>
        <w:br/>
      </w:r>
      <w:r>
        <w:rPr>
          <w:rtl w:val="1"/>
        </w:rPr>
        <w:t xml:space="preserve"> حدثنا محمد بن عبد الله بن نُمَيْر و زهير بن حرب ملاحظة واللفظ لابن نُمَيْر قالا:حدثنا سفيان بن عُيَيْنة عن عمرو بن دينار عن أبي الطُّفَيْل عن حذيفة بن أَسِيد يبلغ به النبيّ صلى الله عليه وسلم</w:t>
        <w:br/>
      </w:r>
      <w:r>
        <w:rPr>
          <w:color w:val="FF0000"/>
          <w:rtl w:val="1"/>
        </w:rPr>
        <w:t xml:space="preserve">قَالَ: «يَدْخُلُ الْمَلَكُ عَلَى النُّطْفَةِ بَعْدَمَا تَسْتَقِرُّ فِي الرَّحِمِ بِأَرْبَعِينَ أَوْ خَمْسَةٍ وَأَرْبَعِينَ لَيْلَةً  </w:t>
      </w:r>
      <w:r>
        <w:rPr>
          <w:color w:val="FF0000"/>
          <w:rtl w:val="1"/>
        </w:rPr>
        <w:t xml:space="preserve">فَيَقُولُ: يَا رَبِّ أَشَقِيٌّ أَوْ سَعِيدٌ؟ فَيُكْتَبَانِ  </w:t>
      </w:r>
      <w:r>
        <w:rPr>
          <w:color w:val="FF0000"/>
          <w:rtl w:val="1"/>
        </w:rPr>
        <w:t xml:space="preserve">فَيَقُولُ: أَيْ رَبِّ أَذَكَرٌ أَوْ أُنْثَى؟ فَيُكْتَبَانِ، وَيُكْتَبُ عَمَلُهُ وَأَثَرُهُ، وَأَجَلُهُ وَرِزْقُهُ،  </w:t>
      </w:r>
      <w:r>
        <w:rPr>
          <w:color w:val="FF0000"/>
          <w:rtl w:val="1"/>
        </w:rPr>
        <w:t xml:space="preserve">ثُمَّ تُطْوَى الصُّحُفُ فَلَا يُزَادُ فِيهَا، وَلَا يُنْقَصُ».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نوعية (ذكورة وأنوثة) - خصائص السكان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مرحلة ما قبل الولادة - مراحل النمو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