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كون الإسلام يهدم ما قبله،وكذا الهجرة والحج-كتاب الإيمان-صحيح مسلم — رقم الحديث: 121 — الرقم الفرعي: 99 — الرقم الأصلي: 121</w:t>
        <w:br/>
      </w:r>
      <w:r>
        <w:rPr>
          <w:rtl w:val="1"/>
        </w:rPr>
        <w:t xml:space="preserve"> حدثنا محمد بن المثنى العَنَزيّ و أبو معن الرَّقاشيّ و إسحاق بن منصور كلهم عن أبي عاصم ملاحظة واللفظ لابن المثنى حدثنا الضّحّاك ملاحظة يعني أبا عاصم قال: أخبرنا حَيوة بن شُريح قال:حدثني يزيد بن أبي حبيب عن ابن شُماسة المَهْرِيّ</w:t>
        <w:br/>
      </w:r>
      <w:r>
        <w:rPr>
          <w:color w:val="000000"/>
          <w:rtl w:val="1"/>
        </w:rPr>
        <w:t xml:space="preserve">قال: حَضَرنا عَمرو بنَ العاص، رضي الله عنه، وهو في سِياقةِ الموت،  </w:t>
      </w:r>
      <w:r>
        <w:rPr>
          <w:color w:val="000000"/>
          <w:rtl w:val="1"/>
        </w:rPr>
        <w:t xml:space="preserve">فبكى طَويلًا وحَوَّل وجهَه إلى الجِدَار،  </w:t>
      </w:r>
      <w:r>
        <w:rPr>
          <w:color w:val="FF0000"/>
          <w:rtl w:val="1"/>
        </w:rPr>
        <w:t xml:space="preserve">فجعلَ ابنُه يقول: يا أبتاه أَما بَشَّركَ رسول الله ﷺ بكذا؟ أما بشَّرَك رسول الله ﷺ بكذا؟  </w:t>
      </w:r>
      <w:r>
        <w:rPr>
          <w:color w:val="FF0000"/>
          <w:rtl w:val="1"/>
        </w:rPr>
        <w:t xml:space="preserve">قال: فأقبلَ بوَجهِه، فقال: إنَّ أفضلَ ما نُعدُّ شهادةَ أنْ لا إله إلاّ الله وأنَّ محمّدًا رسولُ الله،  </w:t>
      </w:r>
      <w:r>
        <w:rPr>
          <w:color w:val="000000"/>
          <w:rtl w:val="1"/>
        </w:rPr>
        <w:t xml:space="preserve">إنّي قد كنتُ على أَطباقٍ ثلاثٍ:  </w:t>
      </w:r>
      <w:r>
        <w:rPr>
          <w:color w:val="000000"/>
          <w:rtl w:val="1"/>
        </w:rPr>
        <w:t xml:space="preserve">لقد رأيتُني وما أحدٌ أشدَّ بُغضًا لرسولِ الله ﷺ، منّي، ولا أَحبَّ إليَّ أنْ أكونَ قد استَمكنتُ منه فقتَلتُه، فلو مُتُّ على تلك الحالِ لكنتُ مِن أهلِ النار،  </w:t>
      </w:r>
      <w:r>
        <w:rPr>
          <w:color w:val="FF0000"/>
          <w:rtl w:val="1"/>
        </w:rPr>
        <w:t xml:space="preserve">فلمَّا جعلَ اللهُ الإسلامَ في قَلبِي، أَتيتُ النّبيَّ ﷺ، فقلت: ابسُط يَمينَك فَلأُبايعْك، فبَسَط يَمينَه،  </w:t>
      </w:r>
      <w:r>
        <w:rPr>
          <w:color w:val="FF0000"/>
          <w:rtl w:val="1"/>
        </w:rPr>
        <w:t xml:space="preserve">قال: فقبضتُ يَدِي، قال: «ما لكَ يا عَمرو؟» قال: قلتُ: أردتُ أنْ أشتَرِطَ، قال: «تَشتَرطُ بماذا؟» قلتُ: أنْ يُغفَر لي، قال: «أما علمتَ أنَّ الإسلامَ يَهدِمُ ما كان قَبلَه؟ وأنَّ الهِجرَة تهدِمُ ما كان قبلَها؟ وأنَّ الحجَّ يَهدِمُ ما كان قَبلَه؟»  </w:t>
      </w:r>
      <w:r>
        <w:rPr>
          <w:color w:val="FF0000"/>
          <w:rtl w:val="1"/>
        </w:rPr>
        <w:t xml:space="preserve">وما كان أحدٌ أحبَّ إلَيّ من رسول الله ﷺ، ولا أجلَّ في عَينِي مِنه، وما كنت أُطيقُ أنْ أملأ عَينَيّ مِنه إجلالًا له، ولو سُئلتُ أنْ أَصِفَه ما أَطقتُ، لأنيّ لم أكنْ أَملأُ عَينَيّ مِنه، ولو مِتُّ على تلك الحال لرجوتُ أنْ أكونَ مِن أَهلِ الجنة،  </w:t>
      </w:r>
      <w:r>
        <w:rPr>
          <w:color w:val="FF0000"/>
          <w:rtl w:val="1"/>
        </w:rPr>
        <w:t xml:space="preserve">ثم وَلينا أشياءَ ما أدري ما حالي فيها،  </w:t>
      </w:r>
      <w:r>
        <w:rPr>
          <w:color w:val="FF0000"/>
          <w:rtl w:val="1"/>
        </w:rPr>
        <w:t xml:space="preserve">فإذا أنا مُتّ، فلا تَصحَبْني نائحةٌ ولا نارٌ،  </w:t>
      </w:r>
      <w:r>
        <w:rPr>
          <w:color w:val="FF0000"/>
          <w:rtl w:val="1"/>
        </w:rPr>
        <w:t xml:space="preserve">فإذا دَفَنتُمُوني فشُنّوا علَيّ الترابَ شَنًّا،  </w:t>
      </w:r>
      <w:r>
        <w:rPr>
          <w:color w:val="FF0000"/>
          <w:rtl w:val="1"/>
        </w:rPr>
        <w:t xml:space="preserve">ثم أَقيمُوا حولَ قَبرِي قَدْرَ ما تُنحَرُ جَزورٌ، ويُقسَم لَحمُها، حتَّى أستأنسَ بِكُم، وأَنظرَ ماذا أُراجعُ به رُسلَ رَبِّي. </w:t>
      </w:r>
    </w:p>
    <w:p>
      <w:pPr>
        <w:bidi w:val="1"/>
        <w:jc w:val="start"/>
      </w:pPr>
      <w:r>
        <w:rPr>
          <w:rtl w:val="1"/>
        </w:rPr>
        <w:t>الشرح: الدلالة: الإيمان بالله تعالى ركن من أركان الإيمان - الإيمان بالله تعالى</w:t>
      </w:r>
    </w:p>
    <w:p>
      <w:pPr>
        <w:bidi w:val="1"/>
        <w:jc w:val="start"/>
      </w:pPr>
      <w:r>
        <w:rPr>
          <w:rtl w:val="1"/>
        </w:rPr>
        <w:t>الشرح: الدلالة: الإيمان شرط دخول الجنة - فضل الإيمان وأهميته</w:t>
      </w:r>
    </w:p>
    <w:p>
      <w:pPr>
        <w:bidi w:val="1"/>
        <w:jc w:val="start"/>
      </w:pPr>
      <w:r>
        <w:rPr>
          <w:rtl w:val="1"/>
        </w:rPr>
        <w:t>الشرح: الدلالة: الإيمان يمحو ما قبله - فضل الإيمان وأهميته</w:t>
      </w:r>
    </w:p>
    <w:p>
      <w:pPr>
        <w:bidi w:val="1"/>
        <w:jc w:val="start"/>
      </w:pPr>
      <w:r>
        <w:rPr>
          <w:rtl w:val="1"/>
        </w:rPr>
        <w:t>الشرح: الدلالة: المحافظة على الإيمان - فضل الإيمان وأهميته</w:t>
      </w:r>
    </w:p>
    <w:p>
      <w:pPr>
        <w:bidi w:val="1"/>
        <w:jc w:val="start"/>
      </w:pPr>
      <w:r>
        <w:rPr>
          <w:rtl w:val="1"/>
        </w:rPr>
        <w:t>الشرح: الدلالة: الانتظار بعد الدفن - دفن الميت وأحكامه</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الإيمان - القيم والأخلاق المحمودة</w:t>
      </w:r>
    </w:p>
    <w:p>
      <w:pPr>
        <w:bidi w:val="1"/>
        <w:jc w:val="start"/>
      </w:pPr>
      <w:r>
        <w:rPr>
          <w:rtl w:val="1"/>
        </w:rPr>
        <w:t>الشرح: الدلالة: آداب الضيافة والزيارة وعيادة المريض - الآداب الاجتماعية</w:t>
      </w:r>
    </w:p>
    <w:p>
      <w:pPr>
        <w:bidi w:val="1"/>
        <w:jc w:val="start"/>
      </w:pPr>
      <w:r>
        <w:rPr>
          <w:rtl w:val="1"/>
        </w:rPr>
        <w:t>الشرح: الدلالة: البيعة - فقه الدعوة</w:t>
      </w:r>
    </w:p>
    <w:p>
      <w:pPr>
        <w:bidi w:val="1"/>
        <w:jc w:val="start"/>
      </w:pPr>
      <w:r>
        <w:rPr>
          <w:rtl w:val="1"/>
        </w:rPr>
        <w:t>الشرح: الدلالة: وظائف الملائكة المتعلقة بالإنسان - وظائف الملائكة</w:t>
      </w:r>
    </w:p>
    <w:p>
      <w:pPr>
        <w:bidi w:val="1"/>
        <w:jc w:val="start"/>
      </w:pPr>
      <w:r>
        <w:rPr>
          <w:rtl w:val="1"/>
        </w:rPr>
        <w:t>الشرح: الدلالة: العناية التلطيفية - المرض</w:t>
      </w:r>
    </w:p>
    <w:p>
      <w:pPr>
        <w:bidi w:val="1"/>
        <w:jc w:val="start"/>
      </w:pPr>
      <w:r>
        <w:rPr>
          <w:rtl w:val="1"/>
        </w:rPr>
        <w:t>الشرح: الدلالة: الوصية في عموم الطاعات - الوصايا</w:t>
      </w:r>
    </w:p>
    <w:p>
      <w:pPr>
        <w:bidi w:val="1"/>
        <w:jc w:val="start"/>
      </w:pPr>
      <w:r>
        <w:rPr>
          <w:rtl w:val="1"/>
        </w:rPr>
        <w:t>الشرح: الدلالة: التميز - المباديء</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آداب المتعلم - آداب المعلم والمتعلم</w:t>
      </w:r>
    </w:p>
    <w:p>
      <w:pPr>
        <w:bidi w:val="1"/>
        <w:jc w:val="start"/>
      </w:pPr>
      <w:r>
        <w:rPr>
          <w:rtl w:val="1"/>
        </w:rPr>
        <w:t>الشرح: الدلالة: عيادة المريض - الرعاية والخدمة الاجتماعية</w:t>
      </w:r>
    </w:p>
    <w:p>
      <w:pPr>
        <w:bidi w:val="1"/>
        <w:jc w:val="start"/>
      </w:pPr>
      <w:r>
        <w:rPr>
          <w:rtl w:val="1"/>
        </w:rPr>
        <w:t>الشرح: الدلالة: فضل الهجرة والمهاجرين - الهجرة إلى الاقاليم</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التقويم الذاتي (محاسبة النفس) - أنواع التقويم</w:t>
      </w:r>
    </w:p>
    <w:p>
      <w:pPr>
        <w:bidi w:val="1"/>
        <w:jc w:val="start"/>
      </w:pPr>
      <w:r>
        <w:rPr>
          <w:rtl w:val="1"/>
        </w:rPr>
        <w:t>الشرح: الدلالة: التوبة - أساليب التقويم</w:t>
      </w:r>
    </w:p>
    <w:p>
      <w:pPr>
        <w:bidi w:val="1"/>
        <w:jc w:val="start"/>
      </w:pPr>
      <w:r>
        <w:rPr>
          <w:rtl w:val="1"/>
        </w:rPr>
        <w:t>الشرح: الدلالة: الوفاء بالبيعة - البيعة - فقه الدعوة</w:t>
      </w:r>
    </w:p>
    <w:p>
      <w:pPr>
        <w:bidi w:val="1"/>
        <w:jc w:val="start"/>
      </w:pPr>
      <w:r>
        <w:rPr>
          <w:rtl w:val="1"/>
        </w:rPr>
        <w:t>الشرح: الدلالة: كيفية دفن الميت - دفن الميت وأحكامه</w:t>
      </w:r>
    </w:p>
    <w:p>
      <w:pPr>
        <w:bidi w:val="1"/>
        <w:jc w:val="start"/>
      </w:pPr>
      <w:r>
        <w:rPr>
          <w:rtl w:val="1"/>
        </w:rPr>
        <w:t>الشرح: الدلالة: ما يكره مع الجنازة - حمل الجنازة وتشييعها</w:t>
      </w:r>
    </w:p>
    <w:p>
      <w:pPr>
        <w:bidi w:val="1"/>
        <w:jc w:val="start"/>
      </w:pPr>
      <w:r>
        <w:rPr>
          <w:rtl w:val="1"/>
        </w:rPr>
        <w:t>الشرح: الدلالة: تحريم النياحة وشق الجيوب - الموت</w:t>
      </w:r>
    </w:p>
    <w:p>
      <w:pPr>
        <w:bidi w:val="1"/>
        <w:jc w:val="start"/>
      </w:pPr>
      <w:r>
        <w:rPr>
          <w:rtl w:val="1"/>
        </w:rPr>
        <w:t>الشرح: الدلالة: سماع الميت قرع نعال المشيعين وشعوره بمن حوله - ثامنًا: عودة الروح للجسد</w:t>
      </w:r>
    </w:p>
    <w:p>
      <w:pPr>
        <w:bidi w:val="1"/>
        <w:jc w:val="start"/>
      </w:pPr>
      <w:r>
        <w:rPr>
          <w:rtl w:val="1"/>
        </w:rPr>
        <w:t xml:space="preserve">الشرح: الدلالة:  فتنة القبر وسؤال الملكين - سؤال الملكين </w:t>
      </w:r>
    </w:p>
    <w:p>
      <w:pPr>
        <w:bidi w:val="1"/>
        <w:jc w:val="start"/>
      </w:pPr>
      <w:r>
        <w:rPr>
          <w:rtl w:val="1"/>
        </w:rPr>
        <w:t>الشرح: الدلالة: إسلام عمرو بن العاص وخالد بن الوليد - أحداث السنة السابعة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