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22162 — الرقم الفرعي: 99 — الرقم الأصلي: 22162</w:t>
        <w:br/>
      </w:r>
      <w:r>
        <w:rPr>
          <w:rtl w:val="1"/>
        </w:rPr>
        <w:t xml:space="preserve"> حدثنا محمد بن بشر ثنا سعيد بن أبي عروبة عن قتادة عن شهر بن حوشب و عبد الوهاب عن هشام و أزهر بن القاسم ثنا هشام عن قتادة عن شهر بن حوشب عن أبي أمامة ملاحظة صاحب رسول الله صلى الله عليه وسلم</w:t>
        <w:br/>
      </w:r>
      <w:r>
        <w:rPr>
          <w:color w:val="FF0000"/>
          <w:rtl w:val="1"/>
        </w:rPr>
        <w:t xml:space="preserve">قال: «الوُضُوءُ يُكَفِّرُ ما قَبلَه، ثمَّ تَصِيرُ الصَّلاةُ نافِلَةً».  </w:t>
      </w:r>
      <w:r>
        <w:rPr>
          <w:color w:val="FF0000"/>
          <w:rtl w:val="1"/>
        </w:rPr>
        <w:t xml:space="preserve">فقِيلَ له: أَسَمِعتَه مِن رَسُولِ اللهِ ﷺ؟ قال: نَعَم. غَيرَ مَرَّةٍ ولا مَرَّتَينِ ولا ثَلاثٍ ولا أَربَعٍ ولا خَمسٍ. </w:t>
      </w:r>
    </w:p>
    <w:p>
      <w:pPr>
        <w:bidi w:val="1"/>
        <w:jc w:val="start"/>
      </w:pPr>
      <w:r>
        <w:rPr>
          <w:rtl w:val="1"/>
        </w:rPr>
        <w:t>درجة الحديث: صحيح بطرقه وشواهده / صحيح بطرقه وشاهده</w:t>
      </w:r>
    </w:p>
    <w:p>
      <w:pPr>
        <w:bidi w:val="1"/>
        <w:jc w:val="start"/>
      </w:pPr>
      <w:r>
        <w:rPr>
          <w:rtl w:val="1"/>
        </w:rPr>
        <w:t>الشرح: الدلالة: مشروعية الوضوء - مشروعية الوضوء وفضله</w:t>
      </w:r>
    </w:p>
    <w:p>
      <w:pPr>
        <w:bidi w:val="1"/>
        <w:jc w:val="start"/>
      </w:pPr>
      <w:r>
        <w:rPr>
          <w:rtl w:val="1"/>
        </w:rPr>
        <w:t>الشرح: الدلالة: فضل الوضوء - مشروعية الوضوء وفضله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