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حقّ المرأة على زوجها-كتاب النكاح-سنن أبي داود — رقم الحديث: 2142 — الرقم الفرعي: 99 — الرقم الأصلي: 2142</w:t>
        <w:br/>
      </w:r>
      <w:r>
        <w:rPr>
          <w:rtl w:val="1"/>
        </w:rPr>
        <w:t xml:space="preserve"> حدثنا موسى بن إسماعيل ثنا حماد أخبرنا أبو قَزَعة الباهليّ عن حكيم بن معاوية القشيريّ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الله، ما حقُّ زَوجةِ أَحدِنا عليه؟  </w:t>
      </w:r>
      <w:r>
        <w:rPr>
          <w:color w:val="FF0000"/>
          <w:rtl w:val="1"/>
        </w:rPr>
        <w:t xml:space="preserve">قال: «أن تُطعِمَها إذا طَعِمتَ، وتكسُوَها إذا اكتَسَيْتَ - أو اكتسبْتَ -  </w:t>
      </w:r>
      <w:r>
        <w:rPr>
          <w:color w:val="FF0000"/>
          <w:rtl w:val="1"/>
        </w:rPr>
        <w:t xml:space="preserve">ولا تَضرِبَ الوجهَ،  </w:t>
      </w:r>
      <w:r>
        <w:rPr>
          <w:color w:val="FF0000"/>
          <w:rtl w:val="1"/>
        </w:rPr>
        <w:t xml:space="preserve">ولا تُقبِّحَ،  </w:t>
      </w:r>
      <w:r>
        <w:rPr>
          <w:color w:val="FF0000"/>
          <w:rtl w:val="1"/>
        </w:rPr>
        <w:t xml:space="preserve">ولا تَهْجُرَ إلّا في البَيت». </w:t>
      </w:r>
      <w:r>
        <w:rPr>
          <w:color w:val="000000"/>
          <w:rtl w:val="1"/>
        </w:rPr>
        <w:t xml:space="preserve">قال أبو داود: «ولا تُقبِّح» أن تقول: قَبَّحكِ الله.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النهي عن الضرب بالوجه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الطعام واللباس والسكن والنفقة - نفقة الزوجة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الرِّفق بالنساء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