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كتاب التفسير-صحيح البخاري — رقم الحديث: 4487 — الرقم الفرعي: 99 — الرقم الأصلي: 4487</w:t>
        <w:br/>
      </w:r>
      <w:r>
        <w:rPr>
          <w:rtl w:val="1"/>
        </w:rPr>
        <w:t xml:space="preserve"> حدثنا يوسف بن راشد حدثنا جَرير و أبو أسامة ملاحظة واللفظ لجَرير عن الأعمش عن أبي صالح وقال أبو أسامة حدثنا أبو صالح عن أبي سعيد الخدريّ</w:t>
        <w:br/>
      </w:r>
      <w:r>
        <w:rPr>
          <w:color w:val="000000"/>
          <w:rtl w:val="1"/>
        </w:rPr>
        <w:t xml:space="preserve">حدَّثنا يوسُفُ بنُ راشِدٍ،  </w:t>
      </w:r>
      <w:r>
        <w:rPr>
          <w:color w:val="FF0000"/>
          <w:rtl w:val="1"/>
        </w:rPr>
        <w:t xml:space="preserve">قال: حدَّثنا جَرِيرٌ وأبو أُسامةَ - واللَّفْظُ لجَرِيرٍ -  </w:t>
      </w:r>
      <w:r>
        <w:rPr>
          <w:color w:val="000000"/>
          <w:rtl w:val="1"/>
        </w:rPr>
        <w:t xml:space="preserve">عن الأعمَشِ،  </w:t>
      </w:r>
      <w:r>
        <w:rPr>
          <w:color w:val="FF0000"/>
          <w:rtl w:val="1"/>
        </w:rPr>
        <w:t xml:space="preserve">عن أبي صالحٍ، وقال أبو أُسامةَ: حدَّثنا أبو صالحٍ،  </w:t>
      </w:r>
      <w:r>
        <w:rPr>
          <w:color w:val="000000"/>
          <w:rtl w:val="1"/>
        </w:rPr>
        <w:t xml:space="preserve">عن أبي سعيدٍ الخُدْريِّ، قال: قال رسولُ الله ﷺ:  </w:t>
      </w:r>
      <w:r>
        <w:rPr>
          <w:color w:val="FF0000"/>
          <w:rtl w:val="1"/>
        </w:rPr>
        <w:t xml:space="preserve">«يُدْعَى نُوحٌ يومَ القِيامَةِ، فيقولُ: لَبَّيكَ وسَعدَيكَ يا رَبِّ،  </w:t>
      </w:r>
      <w:r>
        <w:rPr>
          <w:color w:val="FF0000"/>
          <w:rtl w:val="1"/>
        </w:rPr>
        <w:t xml:space="preserve">فيقولُ: هل بَلَّغْتَ؟ فيقولُ: نعم، فيُقالُ لأُمَّتِه: هل بَلَّغَكُم؟ فيقولونَ: ما أتانا من نَذِيرٍ،  </w:t>
      </w:r>
      <w:r>
        <w:rPr>
          <w:color w:val="FF0000"/>
          <w:rtl w:val="1"/>
        </w:rPr>
        <w:t xml:space="preserve">فيقولُ: مَن يَشهَدُ لَكَ؟ فيقولُ: محمَّدٌ وأُمَّتُه،  </w:t>
      </w:r>
      <w:r>
        <w:rPr>
          <w:color w:val="FF0000"/>
          <w:rtl w:val="1"/>
        </w:rPr>
        <w:t xml:space="preserve">فتَشْهَدونَ أنَّه قد بَلَّغَ ويكونُ الرسولُ عليكم شهيداً».  </w:t>
      </w:r>
      <w:r>
        <w:rPr>
          <w:color w:val="FF0000"/>
          <w:rtl w:val="1"/>
        </w:rPr>
        <w:t xml:space="preserve">فذلكَ قولُه جَلَّ ذِكرُه: {وَكَذَلِكَ جَعَلْنَاكُمْ أُمَّةً وَسَطًا لِتَكُونُوا شُهَدَاءَ عَلَى النَّاسِ وَيَكُونَ الرَّسُولُ عَلَيْكُمْ شَهِيدًا} [البقرة: ١٤٣]،  </w:t>
      </w:r>
      <w:r>
        <w:rPr>
          <w:color w:val="000000"/>
          <w:rtl w:val="1"/>
        </w:rPr>
        <w:t xml:space="preserve">والوَسَطُ: العَدْلُ».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الأمانة العلمية عند الرواة والمحدِّثين - قيم الأمانة العلمية</w:t>
      </w:r>
    </w:p>
    <w:p>
      <w:pPr>
        <w:bidi w:val="1"/>
        <w:jc w:val="start"/>
      </w:pPr>
      <w:r>
        <w:rPr>
          <w:rtl w:val="1"/>
        </w:rPr>
        <w:t>الشرح: الدلالة: سؤال الأنبياء - عاشرًا: العرض والحساب</w:t>
      </w:r>
    </w:p>
    <w:p>
      <w:pPr>
        <w:bidi w:val="1"/>
        <w:jc w:val="start"/>
      </w:pPr>
      <w:r>
        <w:rPr>
          <w:rtl w:val="1"/>
        </w:rPr>
        <w:t>الشرح: الدلالة: شهادة نبينا محمد ﷺ وأمته على الأمم يوم القيامة - الشهود يوم القيامة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