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ذكر الحجّام-كتاب البيوع-صحيح البخاري — رقم الحديث: 2103 — الرقم الفرعي: 99 — الرقم الأصلي: 2103</w:t>
        <w:br/>
      </w:r>
      <w:r>
        <w:rPr>
          <w:rtl w:val="1"/>
        </w:rPr>
        <w:t xml:space="preserve"> حدثنا مُسَدّد حدثنا خالد،هو ابن عبد الله حدثنا خالد عن عكرمة عن ابنِ عبَّاسٍ، رضي الله عنهما،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احتَجَمَ النبيُّ ﷺ وأعطَى الَّذي حَجَمَه، ولو كانَ حَرَامًا لم يُعْطِهِ. </w:t>
      </w:r>
    </w:p>
    <w:p>
      <w:pPr>
        <w:bidi w:val="1"/>
        <w:jc w:val="start"/>
      </w:pPr>
      <w:r>
        <w:rPr>
          <w:rtl w:val="1"/>
        </w:rPr>
        <w:t>الشرح: الدلالة: حقه في التملك والعمل - حق العيش الكريم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