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1584 — الرقم الفرعي: 5 — الرقم الأصلي: 1584</w:t>
        <w:br/>
      </w:r>
      <w:r>
        <w:rPr>
          <w:rtl w:val="1"/>
        </w:rPr>
        <w:t xml:space="preserve"> حدثنا أبو بكر بن أبي شيبة حدثنا وكيع حدثنا إسماعيل بن مسلم العبديّ حدثنا أبو المتوكل الناجيّ عن أبي سعيد الخدريّ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«الذَّهبُ بالذَّهب، والفِضَّةُ بالفِضَّة، والبُرُّ بالبُرّ، والشَّعيرُ بالشَّعير، والتَّمرُ بالتَّمر، والمِلحُ بالمِلح، مِثلًا بمِثلٍ، يدًا بيَدٍ،  </w:t>
      </w:r>
      <w:r>
        <w:rPr>
          <w:color w:val="FF0000"/>
          <w:rtl w:val="1"/>
        </w:rPr>
        <w:t xml:space="preserve">فمَن زادَ أو استَزادَ فقد أَربَى، الآخِذُ والمُعطِي فيه سَواء». 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