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254 — الرقم الفرعي: 99 — الرقم الأصلي: 254</w:t>
        <w:br/>
      </w:r>
      <w:r>
        <w:rPr>
          <w:rtl w:val="1"/>
        </w:rPr>
        <w:t xml:space="preserve"> حدثنا يحيى عن الأعمش حدثنا شَقِيق حدثني الصُّبيّ بن معبد ملاحظة وكان رجُلاً من بني تَغْلِب</w:t>
        <w:br/>
      </w:r>
      <w:r>
        <w:rPr>
          <w:color w:val="000000"/>
          <w:rtl w:val="1"/>
        </w:rPr>
        <w:t xml:space="preserve">قَالَ: كُنتُ نَصْرَانِيًّا فأَسْلَمْتُ، فَاجْتَهَدْتُ فلَمْ آلُ، فأَهْلَلتُ بحَجَّةٍ وَعُمْرَةٍ،  </w:t>
      </w:r>
      <w:r>
        <w:rPr>
          <w:color w:val="000000"/>
          <w:rtl w:val="1"/>
        </w:rPr>
        <w:t xml:space="preserve">فَمَرَرْتُ بِالْعُذَيْبِ عَلَى سَلْمَانَ بْنِ رَبِيعَةَ وَزَيْدِ بْنِ صُوحَانَ، فَقالَ أَحَدُهُمَا: أَبِهِمَا جَمِيعًا؟ فَقَالَ لَهُ صَاحِبُهُ: دَعْهُ، فَلَهُوَ أَضَلُّ مِنْ بَعِيرِهِ.  </w:t>
      </w:r>
      <w:r>
        <w:rPr>
          <w:color w:val="000000"/>
          <w:rtl w:val="1"/>
        </w:rPr>
        <w:t xml:space="preserve">قَالَ: فَكَأنـَّـمَا بَعِيرِي عَلَى عُنُقِي، فَأتَيْتُ عُمَرَ، فَذَكَرْتُ ذَلِكَ لَهُ، فَقَالَ لِي عُمَرُ: إِنَّهُمَا لَمْ يَقُولا شَيْئًا هُدِيتَ لِسُنَّةِ نَبِيِّكَ ﷺ.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