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6871 — الرقم الفرعي: 99 — الرقم الأصلي: 6871 — ج: 2 — ص: 198</w:t>
        <w:br/>
      </w:r>
      <w:r>
        <w:rPr>
          <w:rtl w:val="1"/>
        </w:rPr>
        <w:t xml:space="preserve"> حدثنا عبد الرزّاق أخبرنا مَعمَر عن قَتادَة عن شَهر بن حَوشَب</w:t>
        <w:br/>
      </w:r>
      <w:r>
        <w:rPr>
          <w:color w:val="FF0000"/>
          <w:rtl w:val="1"/>
        </w:rPr>
        <w:t xml:space="preserve">قال: لمّا جاءتنا بيعَةُ يزيدَ بن معاوية، قَدِمتُ الشأم، فأُخبِرتُ بمقامٍ يقومُه نَوف، فجئتُه، إذ جاء رجل، فاشتَدّ الناس، عليه خَميصَة، وإذا هو عبد الله بن عمرو بن العاصي، فلمّا رآه نَوف أمسَك عن الحديث،  </w:t>
      </w:r>
      <w:r>
        <w:rPr>
          <w:color w:val="000000"/>
          <w:rtl w:val="1"/>
        </w:rPr>
        <w:t xml:space="preserve">فقال عبد الله: سمعت رسولَ الله ﷺ يقول: «إنها ستكون هجرةٌ بعد هجرة، ينحازُ الناس إلى مُهاجَر إبراهيم،  </w:t>
      </w:r>
      <w:r>
        <w:rPr>
          <w:color w:val="000000"/>
          <w:rtl w:val="1"/>
        </w:rPr>
        <w:t xml:space="preserve">لا يبقى في الأرض إلا شِرارُ أهلها، تَلْفِظُهم أَرَضوهم، تَقْذَرُهم نَفْس الله، تَحشُرُهم النّارُ مع القِرَدة والخَنازير، تَبيتُ معهم إذا باتوا، وتَقيلُ معهم إذا قالوا، وتأكل مَن تَخَلَّف».  </w:t>
      </w:r>
      <w:r>
        <w:rPr>
          <w:color w:val="FF0000"/>
          <w:rtl w:val="1"/>
        </w:rPr>
        <w:t xml:space="preserve">قال: وسمِعتُ رسولَ الله ﷺ يقول: «سيَخرج أُناسٌ من أُمّتي من قِبَل المَشرق، يقرؤونَ القرآنَ لا يُجاوِز تَراقِيَهم، كلّما خَرَج منهم قَرنٌ قُطِع، كلّما خرج منهم قَرن قُطِع - حتى عَدَّها زيادَةً على عَشرةِ مَرّات - كلما خَرَج منهم قرن قُطِع،  </w:t>
      </w:r>
      <w:r>
        <w:rPr>
          <w:color w:val="FF0000"/>
          <w:rtl w:val="1"/>
        </w:rPr>
        <w:t xml:space="preserve">حتى يَخرُجَ الدَّجّال في بقيَّتِهم». </w:t>
      </w:r>
    </w:p>
    <w:p>
      <w:pPr>
        <w:bidi w:val="1"/>
        <w:jc w:val="start"/>
      </w:pPr>
      <w:r>
        <w:rPr>
          <w:rtl w:val="1"/>
        </w:rPr>
        <w:t xml:space="preserve">درجة الحديث: إسناده ضعيف </w:t>
      </w:r>
    </w:p>
    <w:p>
      <w:pPr>
        <w:bidi w:val="1"/>
        <w:jc w:val="start"/>
      </w:pPr>
      <w:r>
        <w:rPr>
          <w:rtl w:val="1"/>
        </w:rPr>
        <w:t>الشرح: الدلالة: المبحث الثالث: الفتن وأشراط الساعة الصغرى المتعلقة بالشام والعراق - الـفـتـن المتعلقة بالقتال والملاحم</w:t>
      </w:r>
    </w:p>
    <w:p>
      <w:pPr>
        <w:bidi w:val="1"/>
        <w:jc w:val="start"/>
      </w:pPr>
      <w:r>
        <w:rPr>
          <w:rtl w:val="1"/>
        </w:rPr>
        <w:t>الشرح: الدلالة: المبحث الأول: ما ورد في المسيح الدجال وصفته - المسيح الدجال</w:t>
      </w:r>
    </w:p>
    <w:p>
      <w:pPr>
        <w:bidi w:val="1"/>
        <w:jc w:val="start"/>
      </w:pPr>
      <w:r>
        <w:rPr>
          <w:rtl w:val="1"/>
        </w:rPr>
        <w:t>الشرح: الدلالة: الفصل الحادي عشر: الدخان والنار التي تحشر الناس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