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15661 — الرقم الفرعي: 99 — الرقم الأصلي: 15661</w:t>
        <w:br/>
      </w:r>
      <w:r>
        <w:rPr>
          <w:rtl w:val="1"/>
        </w:rPr>
        <w:t xml:space="preserve"> حدثنا عبد الله حدثني أبي ثنا عفّان ثني يحيى بن سعيد قال:حدثني أبو جعفر عمير بن يزيد قال:حدثني الحارث بن فضيل و عمارة بن خزيمة بن ثابت عن عبد الرحمن بن أبي قراد</w:t>
        <w:br/>
      </w:r>
      <w:r>
        <w:rPr>
          <w:color w:val="FF0000"/>
          <w:rtl w:val="1"/>
        </w:rPr>
        <w:t xml:space="preserve">قال: خرجتُ مع رسولِ الله ﷺ حاجًّا،  </w:t>
      </w:r>
      <w:r>
        <w:rPr>
          <w:color w:val="FF0000"/>
          <w:rtl w:val="1"/>
        </w:rPr>
        <w:t xml:space="preserve">قال: فنَزَلَ منزلًا، وخرجَ من الخَلاء، فاتَّبعتُه بالإداوَة - أو القَدَح -  </w:t>
      </w:r>
      <w:r>
        <w:rPr>
          <w:color w:val="FF0000"/>
          <w:rtl w:val="1"/>
        </w:rPr>
        <w:t xml:space="preserve">وكان رسولُ الله ﷺ إذا أرادَ حاجةً أَبْعَدَ،  </w:t>
      </w:r>
      <w:r>
        <w:rPr>
          <w:color w:val="FF0000"/>
          <w:rtl w:val="1"/>
        </w:rPr>
        <w:t xml:space="preserve">فجلستُ له بالطريقِ حتى انصَرَفَ رسولُ الله ﷺ،  </w:t>
      </w:r>
      <w:r>
        <w:rPr>
          <w:color w:val="FF0000"/>
          <w:rtl w:val="1"/>
        </w:rPr>
        <w:t xml:space="preserve">فقلت له: يا رسولَ الله، الوَضوءَ،  </w:t>
      </w:r>
      <w:r>
        <w:rPr>
          <w:color w:val="FF0000"/>
          <w:rtl w:val="1"/>
        </w:rPr>
        <w:t xml:space="preserve">فأقبَلَ رسولُ الله ﷺ إليَّ، فصبَّ رسولُ الله ﷺ على يَدِه، فغَسَلَها،  </w:t>
      </w:r>
      <w:r>
        <w:rPr>
          <w:color w:val="FF0000"/>
          <w:rtl w:val="1"/>
        </w:rPr>
        <w:t xml:space="preserve">ثم أَدخلَ يدَهُ، فكَفَّها، فصبَّ على يدِه واحدةً،  </w:t>
      </w:r>
      <w:r>
        <w:rPr>
          <w:color w:val="FF0000"/>
          <w:rtl w:val="1"/>
        </w:rPr>
        <w:t xml:space="preserve">ثم مَسَحَ على رأسِه،  </w:t>
      </w:r>
      <w:r>
        <w:rPr>
          <w:color w:val="FF0000"/>
          <w:rtl w:val="1"/>
        </w:rPr>
        <w:t xml:space="preserve">ثم قبَضَ الماءَ قبضًا بيدِه، فضَرَب به على ظَهرِ قدَمِه، فمَسَح بيدِه على قدَمِه،  </w:t>
      </w:r>
      <w:r>
        <w:rPr>
          <w:color w:val="FF0000"/>
          <w:rtl w:val="1"/>
        </w:rPr>
        <w:t xml:space="preserve">ثم جاءَ فصلَّى لنا الظُّهر.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صفة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مسح الرأس والأذنين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الكفين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اليدين إلى المرفقين - أعمال الوضوء (فرائضه وسننه)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