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الصفوف على الجنازة-كتاب الجنائز-صحيح البخاري — رقم الحديث: 1320 — الرقم الفرعي: 99 — الرقم الأصلي: 1320</w:t>
        <w:br/>
      </w:r>
      <w:r>
        <w:rPr>
          <w:rtl w:val="1"/>
        </w:rPr>
        <w:t xml:space="preserve"> حدثنا إبراهيم بن موسى أخبرنا هشام بن يوسف أنّ ابن جريج أخبرهم قال:أخبرني عطاء أنه سمع جابر بن عبد الله رضي الله عنهما يقول:قال النبيّ،صلى الله عليه وسلم</w:t>
        <w:br/>
      </w:r>
      <w:r>
        <w:rPr>
          <w:color w:val="FF0000"/>
          <w:rtl w:val="1"/>
        </w:rPr>
        <w:t xml:space="preserve">«قد تُوُفِّيَ اليومَ رجلٌ صالحٌ منَ الحَبَشِ، فهَلُمَّ فصَلُّوا عليه»  </w:t>
      </w:r>
      <w:r>
        <w:rPr>
          <w:color w:val="FF0000"/>
          <w:rtl w:val="1"/>
        </w:rPr>
        <w:t xml:space="preserve">قال: فصَفَفْنا، فصَلَّى النبيُّ ﷺ عليه ونحنُ صُفُوفٌ. </w:t>
      </w:r>
      <w:r>
        <w:rPr>
          <w:color w:val="FF0000"/>
          <w:rtl w:val="1"/>
        </w:rPr>
        <w:t xml:space="preserve">قال أبو الزُّبَير، عن جابرٍ: كنتُ في الصَّفِّ الثّاني 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العجم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الصلاة على الغائب - مشروعية صلاة الجنازة</w:t>
      </w:r>
    </w:p>
    <w:p>
      <w:pPr>
        <w:bidi w:val="1"/>
        <w:jc w:val="start"/>
      </w:pPr>
      <w:r>
        <w:rPr>
          <w:rtl w:val="1"/>
        </w:rPr>
        <w:t xml:space="preserve">الشرح: الدلالة: وجوب الصلاة على الميت - صلاة الجنازة </w:t>
      </w:r>
    </w:p>
    <w:p>
      <w:pPr>
        <w:bidi w:val="1"/>
        <w:jc w:val="start"/>
      </w:pPr>
      <w:r>
        <w:rPr>
          <w:rtl w:val="1"/>
        </w:rPr>
        <w:t>الشرح: الدلالة: الصفوف في صلاة الجنازة - كيفية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