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14119 — الرقم الفرعي: 99 — الرقم الأصلي: 14119 — ج: 3 — ص: 293</w:t>
        <w:br/>
      </w:r>
      <w:r>
        <w:rPr>
          <w:rtl w:val="1"/>
        </w:rPr>
        <w:t xml:space="preserve"> حدثنا عبد الله حدثني أبي ثنا يحيى بن آدم ثنا إسرائيل عن  أبي إسحاق عن سعيد بن أبي كرب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يَخطُبُ إلى خَشَبَةٍ،  </w:t>
      </w:r>
      <w:r>
        <w:rPr>
          <w:color w:val="FF0000"/>
          <w:rtl w:val="1"/>
        </w:rPr>
        <w:t xml:space="preserve">فلما جُعِلَ مِنبَرٌ، حَنَّت حَنِينَ النَّاقَةِ إلى وَلَدِها،  </w:t>
      </w:r>
      <w:r>
        <w:rPr>
          <w:color w:val="000000"/>
          <w:rtl w:val="1"/>
        </w:rPr>
        <w:t xml:space="preserve">فأتاها فوَضَعَ يَدَه عليها، فسَكَنَتْ.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حنين الجذع له ﷺ - خصوصيات النبي ﷺ في أمور أخرى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