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لا صَرورة في الإسلام-أول كتاب المناسك-سنن أبي داود — رقم الحديث: 1729 — الرقم الفرعي: 99 — الرقم الأصلي: 1729</w:t>
        <w:br/>
      </w:r>
      <w:r>
        <w:rPr>
          <w:rtl w:val="1"/>
        </w:rPr>
        <w:t xml:space="preserve"> حدثنا عثمان بن أبي شيبة ثنا أبو خالد ملاحظة يعني سليمان بن حيّان الأحمر عن ابن جريج عن عمر بن عطاء عن عكرمة عن ابن عبّاس قال:قال رسول الله صلى الله عليه وسلم</w:t>
        <w:br/>
      </w:r>
      <w:r>
        <w:rPr>
          <w:color w:val="FF0000"/>
          <w:rtl w:val="1"/>
        </w:rPr>
        <w:t xml:space="preserve">«لا صَرُورَةَ في الإسلام».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 / إسناده ضعيف </w:t>
      </w:r>
    </w:p>
    <w:p>
      <w:pPr>
        <w:bidi w:val="1"/>
        <w:jc w:val="start"/>
      </w:pPr>
      <w:r>
        <w:rPr>
          <w:rtl w:val="1"/>
        </w:rPr>
        <w:t>الشرح: الدلالة: مشروعية الحج وفضله</w:t>
      </w:r>
    </w:p>
    <w:p>
      <w:pPr>
        <w:bidi w:val="1"/>
        <w:jc w:val="start"/>
      </w:pPr>
      <w:r>
        <w:rPr>
          <w:rtl w:val="1"/>
        </w:rPr>
        <w:t>الشرح: الدلالة: فضل الحج والنهي عن تركه - مشروعية الحج وفضله</w:t>
      </w:r>
    </w:p>
    <w:p>
      <w:pPr>
        <w:bidi w:val="1"/>
        <w:jc w:val="start"/>
      </w:pPr>
      <w:r>
        <w:rPr>
          <w:rtl w:val="1"/>
        </w:rPr>
        <w:t>الشرح: الدلالة: التميز - المباديء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