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الجلوس إذا صعد المنبر-كتاب الصلاة-سنن أبي داود — رقم الحديث: 1092 — الرقم الفرعي: 99 — الرقم الأصلي: 1092</w:t>
        <w:br/>
      </w:r>
      <w:r>
        <w:rPr>
          <w:rtl w:val="1"/>
        </w:rPr>
        <w:t xml:space="preserve"> حدثنا محمد بن سليمان الأنباريّ ثنا عبد الوهاب ملاحظة يعني ابن عطاء عن العمريّ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النّبيُّ ﷺ يَخْطُبُ خُطبتَين:  </w:t>
      </w:r>
      <w:r>
        <w:rPr>
          <w:color w:val="FF0000"/>
          <w:rtl w:val="1"/>
        </w:rPr>
        <w:t xml:space="preserve">كان يجلِسُ إذا صَعِدَ المَنبَر حتى يَفرُغَ، أُراه قال: المُؤذِّنُ،  </w:t>
      </w:r>
      <w:r>
        <w:rPr>
          <w:color w:val="FF0000"/>
          <w:rtl w:val="1"/>
        </w:rPr>
        <w:t xml:space="preserve">ثم يَقومُ، فيَخطُبُ،  </w:t>
      </w:r>
      <w:r>
        <w:rPr>
          <w:color w:val="FF0000"/>
          <w:rtl w:val="1"/>
        </w:rPr>
        <w:t xml:space="preserve">ثم يَجلِسُ، فلا يَتكلَّم،  </w:t>
      </w:r>
      <w:r>
        <w:rPr>
          <w:color w:val="FF0000"/>
          <w:rtl w:val="1"/>
        </w:rPr>
        <w:t xml:space="preserve">ثم يَقومُ فيَخطُب.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الخطبة على المنبر - خطبة الجمعة</w:t>
      </w:r>
    </w:p>
    <w:p>
      <w:pPr>
        <w:bidi w:val="1"/>
        <w:jc w:val="start"/>
      </w:pPr>
      <w:r>
        <w:rPr>
          <w:rtl w:val="1"/>
        </w:rPr>
        <w:t>الشرح: الدلالة: قيام الخطيب أثناء الخطبة - خطبة الجمعة</w:t>
      </w:r>
    </w:p>
    <w:p>
      <w:pPr>
        <w:bidi w:val="1"/>
        <w:jc w:val="start"/>
      </w:pPr>
      <w:r>
        <w:rPr>
          <w:rtl w:val="1"/>
        </w:rPr>
        <w:t>الشرح: الدلالة: الخطبتان والجلوس بينهما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