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يجعل الكافور في آخره .-كتاب الجنائز-صحيح البخاري — رقم الحديث: 1258 — الرقم الفرعي: 99 — الرقم الأصلي: 1258</w:t>
        <w:br/>
      </w:r>
      <w:r>
        <w:rPr>
          <w:rtl w:val="1"/>
        </w:rPr>
        <w:t xml:space="preserve"> حدثنا حامد بن عمر حدثنا حمّاد بن زيد عن أيوب عن محمد عن أمّ عطية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تُوُفِّيَتْ إحدَى بناتِ النبيِّ ﷺ،  </w:t>
      </w:r>
      <w:r>
        <w:rPr>
          <w:color w:val="000000"/>
          <w:rtl w:val="1"/>
        </w:rPr>
        <w:t xml:space="preserve">فخَرَجَ فقال: «اغسِلْنَها ثلاثًا، أو خمسًا، أو أكثرَ من ذلكَ - إنْ رأيتُنَّ - بماءٍ وسِدْرٍ،  </w:t>
      </w:r>
      <w:r>
        <w:rPr>
          <w:color w:val="FF0000"/>
          <w:rtl w:val="1"/>
        </w:rPr>
        <w:t xml:space="preserve">واجعَلْنَ في الآخرةِ كافُورًا - أو شيئًا من كافُورٍ –  </w:t>
      </w:r>
      <w:r>
        <w:rPr>
          <w:color w:val="000000"/>
          <w:rtl w:val="1"/>
        </w:rPr>
        <w:t xml:space="preserve">فإذا فَرَغْتُنَّ فآذِنَّني»  </w:t>
      </w:r>
      <w:r>
        <w:rPr>
          <w:color w:val="000000"/>
          <w:rtl w:val="1"/>
        </w:rPr>
        <w:t xml:space="preserve">قالت: فلمّا فَرَغْنا آذَ نّاه،  </w:t>
      </w:r>
      <w:r>
        <w:rPr>
          <w:color w:val="000000"/>
          <w:rtl w:val="1"/>
        </w:rPr>
        <w:t xml:space="preserve">فألْقَى إلينا حِقْوَه فقال: «أشْعِرْنَها إيّاه». </w:t>
      </w:r>
    </w:p>
    <w:p>
      <w:pPr>
        <w:bidi w:val="1"/>
        <w:jc w:val="start"/>
      </w:pPr>
      <w:r>
        <w:rPr>
          <w:rtl w:val="1"/>
        </w:rPr>
        <w:t>الشرح: الدلالة: الكافور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